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W w:w="45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Layout w:type="autofit"/>
        <w:tblCellMar>
          <w:top w:w="0" w:type="dxa"/>
          <w:left w:w="0" w:type="dxa"/>
          <w:bottom w:w="0" w:type="dxa"/>
          <w:right w:w="0" w:type="dxa"/>
        </w:tblCellMar>
      </w:tblPr>
      <w:tblGrid>
        <w:gridCol w:w="783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0" w:type="dxa"/>
            <w:bottom w:w="0" w:type="dxa"/>
            <w:right w:w="0" w:type="dxa"/>
          </w:tblCellMar>
        </w:tblPrEx>
        <w:trPr>
          <w:jc w:val="center"/>
        </w:trPr>
        <w:tc>
          <w:tcPr>
            <w:tcW w:w="0" w:type="auto"/>
            <w:shd w:val="cle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750" w:lineRule="atLeast"/>
              <w:ind w:left="0" w:right="0" w:firstLine="0"/>
              <w:jc w:val="center"/>
              <w:rPr>
                <w:rFonts w:ascii="微软雅黑" w:hAnsi="微软雅黑" w:eastAsia="微软雅黑" w:cs="微软雅黑"/>
                <w:i w:val="0"/>
                <w:iCs w:val="0"/>
                <w:caps w:val="0"/>
                <w:color w:val="333333"/>
                <w:spacing w:val="0"/>
                <w:sz w:val="37"/>
                <w:szCs w:val="37"/>
              </w:rPr>
            </w:pPr>
            <w:r>
              <w:rPr>
                <w:rFonts w:hint="eastAsia" w:ascii="微软雅黑" w:hAnsi="微软雅黑" w:eastAsia="微软雅黑" w:cs="微软雅黑"/>
                <w:i w:val="0"/>
                <w:iCs w:val="0"/>
                <w:caps w:val="0"/>
                <w:color w:val="333333"/>
                <w:spacing w:val="0"/>
                <w:kern w:val="0"/>
                <w:sz w:val="37"/>
                <w:szCs w:val="37"/>
                <w:bdr w:val="none" w:color="auto" w:sz="0" w:space="0"/>
                <w:lang w:val="en-US" w:eastAsia="zh-CN" w:bidi="ar"/>
              </w:rPr>
              <w:t>全市卫生健康</w:t>
            </w:r>
            <w:bookmarkStart w:id="0" w:name="_GoBack"/>
            <w:bookmarkEnd w:id="0"/>
            <w:r>
              <w:rPr>
                <w:rFonts w:hint="eastAsia" w:ascii="微软雅黑" w:hAnsi="微软雅黑" w:eastAsia="微软雅黑" w:cs="微软雅黑"/>
                <w:i w:val="0"/>
                <w:iCs w:val="0"/>
                <w:caps w:val="0"/>
                <w:color w:val="333333"/>
                <w:spacing w:val="0"/>
                <w:kern w:val="0"/>
                <w:sz w:val="37"/>
                <w:szCs w:val="37"/>
                <w:bdr w:val="none" w:color="auto" w:sz="0" w:space="0"/>
                <w:lang w:val="en-US" w:eastAsia="zh-CN" w:bidi="ar"/>
              </w:rPr>
              <w:t>工作会议召开：奋力打造卫生健康现代化市域标杆</w:t>
            </w:r>
          </w:p>
          <w:p>
            <w:pPr>
              <w:keepNext w:val="0"/>
              <w:keepLines w:val="0"/>
              <w:widowControl/>
              <w:suppressLineNumbers w:val="0"/>
              <w:pBdr>
                <w:top w:val="single" w:color="CCCCCC" w:sz="6" w:space="0"/>
                <w:left w:val="none" w:color="auto" w:sz="0" w:space="0"/>
                <w:bottom w:val="none" w:color="auto" w:sz="0" w:space="0"/>
                <w:right w:val="none" w:color="auto" w:sz="0" w:space="0"/>
              </w:pBdr>
              <w:wordWrap w:val="0"/>
              <w:spacing w:before="75" w:beforeAutospacing="0" w:after="75" w:afterAutospacing="0"/>
              <w:ind w:left="75" w:right="75"/>
              <w:jc w:val="center"/>
              <w:rPr>
                <w:color w:val="DDDDDD"/>
              </w:rPr>
            </w:pPr>
            <w:r>
              <w:rPr>
                <w:rFonts w:ascii="微软雅黑" w:hAnsi="微软雅黑" w:eastAsia="微软雅黑" w:cs="微软雅黑"/>
                <w:i w:val="0"/>
                <w:iCs w:val="0"/>
                <w:caps w:val="0"/>
                <w:color w:val="333333"/>
                <w:spacing w:val="0"/>
                <w:sz w:val="37"/>
                <w:szCs w:val="37"/>
              </w:rPr>
              <w:pict>
                <v:rect id="_x0000_i1030" o:spt="1" style="height:0.75pt;width:388.8pt;" fillcolor="#DDDDDD" filled="t" stroked="f" coordsize="21600,21600" o:hr="t" o:hrstd="t" o:hrnoshade="t" o:hralign="center">
                  <v:path/>
                  <v:fill on="t" focussize="0,0"/>
                  <v:stroke on="f"/>
                  <v:imagedata o:title=""/>
                  <o:lock v:ext="edit"/>
                  <w10:wrap type="none"/>
                  <w10:anchorlock/>
                </v:rect>
              </w:pic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0" w:type="dxa"/>
            <w:bottom w:w="0" w:type="dxa"/>
            <w:right w:w="0" w:type="dxa"/>
          </w:tblCellMar>
        </w:tblPrEx>
        <w:trPr>
          <w:jc w:val="center"/>
        </w:trPr>
        <w:tc>
          <w:tcPr>
            <w:tcW w:w="6" w:type="dxa"/>
            <w:shd w:val="clear"/>
            <w:vAlign w:val="center"/>
          </w:tcPr>
          <w:tbl>
            <w:tblPr>
              <w:tblW w:w="50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Layout w:type="autofit"/>
              <w:tblCellMar>
                <w:top w:w="15" w:type="dxa"/>
                <w:left w:w="15" w:type="dxa"/>
                <w:bottom w:w="15" w:type="dxa"/>
                <w:right w:w="15" w:type="dxa"/>
              </w:tblCellMar>
            </w:tblPr>
            <w:tblGrid>
              <w:gridCol w:w="2349"/>
              <w:gridCol w:w="881"/>
              <w:gridCol w:w="881"/>
              <w:gridCol w:w="881"/>
              <w:gridCol w:w="881"/>
              <w:gridCol w:w="195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15" w:type="dxa"/>
                  <w:left w:w="15" w:type="dxa"/>
                  <w:bottom w:w="15" w:type="dxa"/>
                  <w:right w:w="15" w:type="dxa"/>
                </w:tblCellMar>
              </w:tblPrEx>
              <w:trPr>
                <w:jc w:val="center"/>
              </w:trPr>
              <w:tc>
                <w:tcPr>
                  <w:tcW w:w="1500" w:type="pct"/>
                  <w:shd w:val="clear"/>
                  <w:tcMar>
                    <w:top w:w="0" w:type="dxa"/>
                    <w:left w:w="0" w:type="dxa"/>
                    <w:bottom w:w="0" w:type="dxa"/>
                    <w:right w:w="0" w:type="dxa"/>
                  </w:tcMar>
                  <w:vAlign w:val="center"/>
                </w:tcPr>
                <w:p>
                  <w:pPr>
                    <w:keepNext w:val="0"/>
                    <w:keepLines w:val="0"/>
                    <w:widowControl/>
                    <w:suppressLineNumbers w:val="0"/>
                    <w:spacing w:before="0" w:beforeAutospacing="0" w:after="0" w:afterAutospacing="0"/>
                    <w:ind w:left="0" w:right="0"/>
                    <w:jc w:val="right"/>
                    <w:rPr>
                      <w:rFonts w:hint="eastAsia" w:ascii="微软雅黑" w:hAnsi="微软雅黑" w:eastAsia="微软雅黑" w:cs="微软雅黑"/>
                      <w:color w:val="333333"/>
                      <w:sz w:val="22"/>
                      <w:szCs w:val="22"/>
                    </w:rPr>
                  </w:pPr>
                </w:p>
              </w:tc>
              <w:tc>
                <w:tcPr>
                  <w:tcW w:w="6" w:type="dxa"/>
                  <w:shd w:val="clear"/>
                  <w:tcMar>
                    <w:top w:w="0" w:type="dxa"/>
                    <w:left w:w="0" w:type="dxa"/>
                    <w:bottom w:w="0" w:type="dxa"/>
                    <w:right w:w="0" w:type="dxa"/>
                  </w:tcMar>
                  <w:vAlign w:val="center"/>
                </w:tcPr>
                <w:p>
                  <w:pPr>
                    <w:keepNext w:val="0"/>
                    <w:keepLines w:val="0"/>
                    <w:widowControl/>
                    <w:suppressLineNumbers w:val="0"/>
                    <w:spacing w:before="0" w:beforeAutospacing="0" w:after="0" w:afterAutospacing="0"/>
                    <w:ind w:left="0" w:right="0"/>
                    <w:jc w:val="right"/>
                    <w:rPr>
                      <w:rFonts w:hint="eastAsia" w:ascii="微软雅黑" w:hAnsi="微软雅黑" w:eastAsia="微软雅黑" w:cs="微软雅黑"/>
                      <w:color w:val="333333"/>
                      <w:sz w:val="22"/>
                      <w:szCs w:val="22"/>
                    </w:rPr>
                  </w:pPr>
                </w:p>
              </w:tc>
              <w:tc>
                <w:tcPr>
                  <w:tcW w:w="6" w:type="dxa"/>
                  <w:shd w:val="clear"/>
                  <w:tcMar>
                    <w:top w:w="0" w:type="dxa"/>
                    <w:left w:w="0" w:type="dxa"/>
                    <w:bottom w:w="0" w:type="dxa"/>
                    <w:right w:w="0" w:type="dxa"/>
                  </w:tcMar>
                  <w:vAlign w:val="center"/>
                </w:tcPr>
                <w:p>
                  <w:pPr>
                    <w:keepNext w:val="0"/>
                    <w:keepLines w:val="0"/>
                    <w:widowControl/>
                    <w:suppressLineNumbers w:val="0"/>
                    <w:spacing w:before="0" w:beforeAutospacing="0" w:after="0" w:afterAutospacing="0"/>
                    <w:ind w:left="0" w:right="0"/>
                    <w:jc w:val="center"/>
                    <w:rPr>
                      <w:rFonts w:hint="eastAsia" w:ascii="微软雅黑" w:hAnsi="微软雅黑" w:eastAsia="微软雅黑" w:cs="微软雅黑"/>
                      <w:color w:val="333333"/>
                      <w:sz w:val="22"/>
                      <w:szCs w:val="22"/>
                    </w:rPr>
                  </w:pPr>
                </w:p>
              </w:tc>
              <w:tc>
                <w:tcPr>
                  <w:tcW w:w="6" w:type="dxa"/>
                  <w:shd w:val="clear"/>
                  <w:tcMar>
                    <w:top w:w="0" w:type="dxa"/>
                    <w:left w:w="0" w:type="dxa"/>
                    <w:bottom w:w="0" w:type="dxa"/>
                    <w:right w:w="0" w:type="dxa"/>
                  </w:tcMar>
                  <w:vAlign w:val="center"/>
                </w:tcPr>
                <w:p>
                  <w:pPr>
                    <w:keepNext w:val="0"/>
                    <w:keepLines w:val="0"/>
                    <w:widowControl/>
                    <w:suppressLineNumbers w:val="0"/>
                    <w:spacing w:before="0" w:beforeAutospacing="0" w:after="0" w:afterAutospacing="0"/>
                    <w:ind w:left="0" w:right="0"/>
                    <w:jc w:val="left"/>
                    <w:rPr>
                      <w:rFonts w:hint="eastAsia" w:ascii="微软雅黑" w:hAnsi="微软雅黑" w:eastAsia="微软雅黑" w:cs="微软雅黑"/>
                      <w:color w:val="333333"/>
                      <w:sz w:val="22"/>
                      <w:szCs w:val="22"/>
                    </w:rPr>
                  </w:pPr>
                </w:p>
              </w:tc>
              <w:tc>
                <w:tcPr>
                  <w:tcW w:w="6" w:type="dxa"/>
                  <w:shd w:val="clear"/>
                  <w:tcMar>
                    <w:top w:w="0" w:type="dxa"/>
                    <w:left w:w="0" w:type="dxa"/>
                    <w:bottom w:w="0" w:type="dxa"/>
                    <w:right w:w="0" w:type="dxa"/>
                  </w:tcMar>
                  <w:vAlign w:val="center"/>
                </w:tcPr>
                <w:p>
                  <w:pPr>
                    <w:keepNext w:val="0"/>
                    <w:keepLines w:val="0"/>
                    <w:widowControl/>
                    <w:suppressLineNumbers w:val="0"/>
                    <w:spacing w:before="0" w:beforeAutospacing="0" w:after="0" w:afterAutospacing="0"/>
                    <w:ind w:left="0" w:right="0"/>
                    <w:jc w:val="left"/>
                    <w:rPr>
                      <w:rFonts w:hint="eastAsia" w:ascii="微软雅黑" w:hAnsi="微软雅黑" w:eastAsia="微软雅黑" w:cs="微软雅黑"/>
                      <w:color w:val="333333"/>
                      <w:sz w:val="22"/>
                      <w:szCs w:val="22"/>
                    </w:rPr>
                  </w:pPr>
                </w:p>
              </w:tc>
              <w:tc>
                <w:tcPr>
                  <w:tcW w:w="1250" w:type="pct"/>
                  <w:shd w:val="clear"/>
                  <w:tcMar>
                    <w:top w:w="0" w:type="dxa"/>
                    <w:left w:w="0" w:type="dxa"/>
                    <w:bottom w:w="0" w:type="dxa"/>
                    <w:right w:w="0" w:type="dxa"/>
                  </w:tcMar>
                  <w:vAlign w:val="center"/>
                </w:tcPr>
                <w:p>
                  <w:pPr>
                    <w:jc w:val="left"/>
                    <w:rPr>
                      <w:rFonts w:hint="eastAsia" w:ascii="微软雅黑" w:hAnsi="微软雅黑" w:eastAsia="微软雅黑" w:cs="微软雅黑"/>
                      <w:color w:val="333333"/>
                      <w:sz w:val="22"/>
                      <w:szCs w:val="22"/>
                    </w:rPr>
                  </w:pPr>
                </w:p>
              </w:tc>
            </w:tr>
          </w:tbl>
          <w:p>
            <w:pPr>
              <w:keepNext w:val="0"/>
              <w:keepLines w:val="0"/>
              <w:widowControl/>
              <w:suppressLineNumbers w:val="0"/>
              <w:wordWrap w:val="0"/>
              <w:spacing w:before="0" w:beforeAutospacing="0" w:after="0" w:afterAutospacing="0"/>
              <w:ind w:left="0" w:right="0" w:firstLine="0"/>
              <w:jc w:val="left"/>
              <w:rPr>
                <w:rFonts w:hint="eastAsia" w:ascii="微软雅黑" w:hAnsi="微软雅黑" w:eastAsia="微软雅黑" w:cs="微软雅黑"/>
                <w:i w:val="0"/>
                <w:iCs w:val="0"/>
                <w:caps w:val="0"/>
                <w:color w:val="333333"/>
                <w:spacing w:val="0"/>
                <w:sz w:val="22"/>
                <w:szCs w:val="2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0" w:type="dxa"/>
            <w:bottom w:w="0" w:type="dxa"/>
            <w:right w:w="0" w:type="dxa"/>
          </w:tblCellMar>
        </w:tblPrEx>
        <w:trPr>
          <w:jc w:val="center"/>
        </w:trPr>
        <w:tc>
          <w:tcPr>
            <w:tcW w:w="0" w:type="auto"/>
            <w:shd w:val="clear"/>
            <w:vAlign w:val="center"/>
          </w:tcPr>
          <w:p>
            <w:pPr>
              <w:pStyle w:val="2"/>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420"/>
              <w:jc w:val="both"/>
              <w:rPr>
                <w:rFonts w:hint="eastAsia" w:ascii="微软雅黑" w:hAnsi="微软雅黑" w:eastAsia="微软雅黑" w:cs="微软雅黑"/>
                <w:color w:val="333333"/>
                <w:sz w:val="28"/>
                <w:szCs w:val="28"/>
              </w:rPr>
            </w:pPr>
            <w:r>
              <w:rPr>
                <w:rFonts w:hint="eastAsia" w:ascii="微软雅黑" w:hAnsi="微软雅黑" w:eastAsia="微软雅黑" w:cs="微软雅黑"/>
                <w:i w:val="0"/>
                <w:iCs w:val="0"/>
                <w:caps w:val="0"/>
                <w:color w:val="333333"/>
                <w:spacing w:val="0"/>
                <w:sz w:val="28"/>
                <w:szCs w:val="28"/>
                <w:bdr w:val="none" w:color="auto" w:sz="0" w:space="0"/>
              </w:rPr>
              <w:t>5月12日，全市卫生健康工作会议召开。会议深入学习贯彻习近平新时代中国特色社会主义思想和党的二十大精神，全面落实全省深入实施“八八战略”强力推进创新深化、改革攻坚、开放提升大会部署要求，紧紧围绕市委市政府决策部署和省域卫生健康现代化先行发展战略，总结2022年工作，分析当前形势，部署2023年任务。市卫生健康委党委书记、主任王宏达出席会议并讲话，委党委副书记王骏主持会议。</w:t>
            </w:r>
          </w:p>
          <w:p>
            <w:pPr>
              <w:pStyle w:val="2"/>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jc w:val="center"/>
              <w:rPr>
                <w:rFonts w:hint="eastAsia" w:ascii="微软雅黑" w:hAnsi="微软雅黑" w:eastAsia="微软雅黑" w:cs="微软雅黑"/>
                <w:color w:val="333333"/>
                <w:sz w:val="28"/>
                <w:szCs w:val="28"/>
              </w:rPr>
            </w:pPr>
            <w:r>
              <w:rPr>
                <w:rFonts w:hint="eastAsia" w:ascii="微软雅黑" w:hAnsi="微软雅黑" w:eastAsia="微软雅黑" w:cs="微软雅黑"/>
                <w:i w:val="0"/>
                <w:iCs w:val="0"/>
                <w:caps w:val="0"/>
                <w:color w:val="333333"/>
                <w:spacing w:val="0"/>
                <w:sz w:val="28"/>
                <w:szCs w:val="28"/>
                <w:u w:val="none"/>
                <w:bdr w:val="none" w:color="auto" w:sz="0" w:space="0"/>
              </w:rPr>
              <w:drawing>
                <wp:inline distT="0" distB="0" distL="114300" distR="114300">
                  <wp:extent cx="4905375" cy="3267075"/>
                  <wp:effectExtent l="0" t="0" r="9525" b="9525"/>
                  <wp:docPr id="6" name="图片 8" descr="IMG_257">
                    <a:hlinkClick xmlns:a="http://schemas.openxmlformats.org/drawingml/2006/main" r:id="rId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8" descr="IMG_257"/>
                          <pic:cNvPicPr>
                            <a:picLocks noChangeAspect="1"/>
                          </pic:cNvPicPr>
                        </pic:nvPicPr>
                        <pic:blipFill>
                          <a:blip r:embed="rId5"/>
                          <a:stretch>
                            <a:fillRect/>
                          </a:stretch>
                        </pic:blipFill>
                        <pic:spPr>
                          <a:xfrm>
                            <a:off x="0" y="0"/>
                            <a:ext cx="4905375" cy="3267075"/>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420"/>
              <w:jc w:val="both"/>
              <w:rPr>
                <w:rFonts w:hint="eastAsia" w:ascii="微软雅黑" w:hAnsi="微软雅黑" w:eastAsia="微软雅黑" w:cs="微软雅黑"/>
                <w:color w:val="333333"/>
                <w:sz w:val="28"/>
                <w:szCs w:val="28"/>
              </w:rPr>
            </w:pPr>
            <w:r>
              <w:rPr>
                <w:rFonts w:hint="eastAsia" w:ascii="微软雅黑" w:hAnsi="微软雅黑" w:eastAsia="微软雅黑" w:cs="微软雅黑"/>
                <w:i w:val="0"/>
                <w:iCs w:val="0"/>
                <w:caps w:val="0"/>
                <w:color w:val="333333"/>
                <w:spacing w:val="0"/>
                <w:sz w:val="28"/>
                <w:szCs w:val="28"/>
                <w:bdr w:val="none" w:color="auto" w:sz="0" w:space="0"/>
              </w:rPr>
              <w:t>会议指出，2022年是极不平凡极不容易的一年，全市卫生健康系统始终坚持人民至上、生命至上，高效统筹疫情防控和卫生健康改革发展，成功成为创建中医药综合改革先行市建设单位，全省基层医疗卫生机构绩效考核省级监测评价排名全省第一，健康浙江考核实现“满堂红”，被评为全国健康城市建设样板市，连续三个季度被评为市委市政府“争先进位、率先发展”优胜单位，市本级及六个区、县（市）均获党委政府年度工作目标责任制考核优秀单位。</w:t>
            </w:r>
          </w:p>
          <w:p>
            <w:pPr>
              <w:pStyle w:val="2"/>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jc w:val="center"/>
              <w:rPr>
                <w:rFonts w:hint="eastAsia" w:ascii="微软雅黑" w:hAnsi="微软雅黑" w:eastAsia="微软雅黑" w:cs="微软雅黑"/>
                <w:color w:val="333333"/>
                <w:sz w:val="28"/>
                <w:szCs w:val="28"/>
              </w:rPr>
            </w:pPr>
            <w:r>
              <w:rPr>
                <w:rFonts w:hint="eastAsia" w:ascii="微软雅黑" w:hAnsi="微软雅黑" w:eastAsia="微软雅黑" w:cs="微软雅黑"/>
                <w:i w:val="0"/>
                <w:iCs w:val="0"/>
                <w:caps w:val="0"/>
                <w:color w:val="333333"/>
                <w:spacing w:val="0"/>
                <w:sz w:val="28"/>
                <w:szCs w:val="28"/>
                <w:u w:val="none"/>
                <w:bdr w:val="none" w:color="auto" w:sz="0" w:space="0"/>
              </w:rPr>
              <w:drawing>
                <wp:inline distT="0" distB="0" distL="114300" distR="114300">
                  <wp:extent cx="4914900" cy="3238500"/>
                  <wp:effectExtent l="0" t="0" r="0" b="0"/>
                  <wp:docPr id="7" name="图片 9" descr="IMG_258">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descr="IMG_258"/>
                          <pic:cNvPicPr>
                            <a:picLocks noChangeAspect="1"/>
                          </pic:cNvPicPr>
                        </pic:nvPicPr>
                        <pic:blipFill>
                          <a:blip r:embed="rId7"/>
                          <a:stretch>
                            <a:fillRect/>
                          </a:stretch>
                        </pic:blipFill>
                        <pic:spPr>
                          <a:xfrm>
                            <a:off x="0" y="0"/>
                            <a:ext cx="4914900" cy="3238500"/>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420"/>
              <w:jc w:val="both"/>
              <w:rPr>
                <w:rFonts w:hint="eastAsia" w:ascii="微软雅黑" w:hAnsi="微软雅黑" w:eastAsia="微软雅黑" w:cs="微软雅黑"/>
                <w:color w:val="333333"/>
                <w:sz w:val="28"/>
                <w:szCs w:val="28"/>
              </w:rPr>
            </w:pPr>
            <w:r>
              <w:rPr>
                <w:rFonts w:hint="eastAsia" w:ascii="微软雅黑" w:hAnsi="微软雅黑" w:eastAsia="微软雅黑" w:cs="微软雅黑"/>
                <w:i w:val="0"/>
                <w:iCs w:val="0"/>
                <w:caps w:val="0"/>
                <w:color w:val="333333"/>
                <w:spacing w:val="0"/>
                <w:sz w:val="28"/>
                <w:szCs w:val="28"/>
                <w:bdr w:val="none" w:color="auto" w:sz="0" w:space="0"/>
              </w:rPr>
              <w:t>会议强调，2023年是全面贯彻落实党的二十大精神开局之年，是“八八战略”实施二十周年，是实施十四五规划的关键之年，也是杭州亚运会举办之年。当前全市卫生健康事业改革发展任务重、时间紧、要求高，全系统上下要提高政治站位保持发展定力、分析短板弱项加大克难攻坚、发挥自身优势把握发展机遇，紧扣高质量发展主题和卫生健康现代化建设九大行动，聚焦“病有良医”“幼有善育”“老有康养”公共服务优享，全面实施“七大工程”，全力“图更强、争一流、敢首创”，勇闯卫生健康现代化市域实践新路子。</w:t>
            </w:r>
          </w:p>
          <w:p>
            <w:pPr>
              <w:pStyle w:val="2"/>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420"/>
              <w:jc w:val="both"/>
              <w:rPr>
                <w:rFonts w:hint="eastAsia" w:ascii="微软雅黑" w:hAnsi="微软雅黑" w:eastAsia="微软雅黑" w:cs="微软雅黑"/>
                <w:color w:val="333333"/>
                <w:sz w:val="28"/>
                <w:szCs w:val="28"/>
              </w:rPr>
            </w:pPr>
            <w:r>
              <w:rPr>
                <w:rStyle w:val="5"/>
                <w:rFonts w:hint="eastAsia" w:ascii="微软雅黑" w:hAnsi="微软雅黑" w:eastAsia="微软雅黑" w:cs="微软雅黑"/>
                <w:b/>
                <w:bCs/>
                <w:i w:val="0"/>
                <w:iCs w:val="0"/>
                <w:caps w:val="0"/>
                <w:color w:val="333333"/>
                <w:spacing w:val="0"/>
                <w:sz w:val="28"/>
                <w:szCs w:val="28"/>
                <w:bdr w:val="none" w:color="auto" w:sz="0" w:space="0"/>
              </w:rPr>
              <w:t>（一）实施全民全程健康促进提质工程。</w:t>
            </w:r>
            <w:r>
              <w:rPr>
                <w:rFonts w:hint="eastAsia" w:ascii="微软雅黑" w:hAnsi="微软雅黑" w:eastAsia="微软雅黑" w:cs="微软雅黑"/>
                <w:i w:val="0"/>
                <w:iCs w:val="0"/>
                <w:caps w:val="0"/>
                <w:color w:val="333333"/>
                <w:spacing w:val="0"/>
                <w:sz w:val="28"/>
                <w:szCs w:val="28"/>
                <w:bdr w:val="none" w:color="auto" w:sz="0" w:space="0"/>
              </w:rPr>
              <w:t>创新实施国卫城市和文明城市复审联动机制，拓展健康影响评价工作，打造健康影响评价省级示范样板。持续打响“一老一小”健康服务品牌，高质量完成民生实事项目。</w:t>
            </w:r>
          </w:p>
          <w:p>
            <w:pPr>
              <w:pStyle w:val="2"/>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420"/>
              <w:jc w:val="both"/>
              <w:rPr>
                <w:rFonts w:hint="eastAsia" w:ascii="微软雅黑" w:hAnsi="微软雅黑" w:eastAsia="微软雅黑" w:cs="微软雅黑"/>
                <w:color w:val="333333"/>
                <w:sz w:val="28"/>
                <w:szCs w:val="28"/>
              </w:rPr>
            </w:pPr>
            <w:r>
              <w:rPr>
                <w:rStyle w:val="5"/>
                <w:rFonts w:hint="eastAsia" w:ascii="微软雅黑" w:hAnsi="微软雅黑" w:eastAsia="微软雅黑" w:cs="微软雅黑"/>
                <w:b/>
                <w:bCs/>
                <w:i w:val="0"/>
                <w:iCs w:val="0"/>
                <w:caps w:val="0"/>
                <w:color w:val="333333"/>
                <w:spacing w:val="0"/>
                <w:sz w:val="28"/>
                <w:szCs w:val="28"/>
                <w:bdr w:val="none" w:color="auto" w:sz="0" w:space="0"/>
              </w:rPr>
              <w:t>（二）实施公共卫生安全市打造工程。</w:t>
            </w:r>
            <w:r>
              <w:rPr>
                <w:rFonts w:hint="eastAsia" w:ascii="微软雅黑" w:hAnsi="微软雅黑" w:eastAsia="微软雅黑" w:cs="微软雅黑"/>
                <w:i w:val="0"/>
                <w:iCs w:val="0"/>
                <w:caps w:val="0"/>
                <w:color w:val="333333"/>
                <w:spacing w:val="0"/>
                <w:sz w:val="28"/>
                <w:szCs w:val="28"/>
                <w:bdr w:val="none" w:color="auto" w:sz="0" w:space="0"/>
              </w:rPr>
              <w:t>做好“乙类乙管”常态化疫情防控，加强疫情监测。全面推进疾控体系改革，完善疾控网络、运行机制、应急管理等体系，加快公共卫生临床中心和疾控实验楼建设，提升重大传染病防治能力。</w:t>
            </w:r>
          </w:p>
          <w:p>
            <w:pPr>
              <w:pStyle w:val="2"/>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420"/>
              <w:jc w:val="both"/>
              <w:rPr>
                <w:rFonts w:hint="eastAsia" w:ascii="微软雅黑" w:hAnsi="微软雅黑" w:eastAsia="微软雅黑" w:cs="微软雅黑"/>
                <w:color w:val="333333"/>
                <w:sz w:val="28"/>
                <w:szCs w:val="28"/>
              </w:rPr>
            </w:pPr>
            <w:r>
              <w:rPr>
                <w:rStyle w:val="5"/>
                <w:rFonts w:hint="eastAsia" w:ascii="微软雅黑" w:hAnsi="微软雅黑" w:eastAsia="微软雅黑" w:cs="微软雅黑"/>
                <w:b/>
                <w:bCs/>
                <w:i w:val="0"/>
                <w:iCs w:val="0"/>
                <w:caps w:val="0"/>
                <w:color w:val="333333"/>
                <w:spacing w:val="0"/>
                <w:sz w:val="28"/>
                <w:szCs w:val="28"/>
                <w:bdr w:val="none" w:color="auto" w:sz="0" w:space="0"/>
              </w:rPr>
              <w:t>（三）实施区域医学高地建设深化工程。</w:t>
            </w:r>
            <w:r>
              <w:rPr>
                <w:rFonts w:hint="eastAsia" w:ascii="微软雅黑" w:hAnsi="微软雅黑" w:eastAsia="微软雅黑" w:cs="微软雅黑"/>
                <w:i w:val="0"/>
                <w:iCs w:val="0"/>
                <w:caps w:val="0"/>
                <w:color w:val="333333"/>
                <w:spacing w:val="0"/>
                <w:sz w:val="28"/>
                <w:szCs w:val="28"/>
                <w:bdr w:val="none" w:color="auto" w:sz="0" w:space="0"/>
              </w:rPr>
              <w:t>推进省级医院绍兴院区和国家区域医疗中心建设，加快镜湖总院等重大医疗卫生项目建设，启动站前医疗综合体试点项目，加强学科专科建设，培优各类卫生人才，全力打造高能级平台。</w:t>
            </w:r>
          </w:p>
          <w:p>
            <w:pPr>
              <w:pStyle w:val="2"/>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420"/>
              <w:jc w:val="both"/>
              <w:rPr>
                <w:rFonts w:hint="eastAsia" w:ascii="微软雅黑" w:hAnsi="微软雅黑" w:eastAsia="微软雅黑" w:cs="微软雅黑"/>
                <w:color w:val="333333"/>
                <w:sz w:val="28"/>
                <w:szCs w:val="28"/>
              </w:rPr>
            </w:pPr>
            <w:r>
              <w:rPr>
                <w:rStyle w:val="5"/>
                <w:rFonts w:hint="eastAsia" w:ascii="微软雅黑" w:hAnsi="微软雅黑" w:eastAsia="微软雅黑" w:cs="微软雅黑"/>
                <w:b/>
                <w:bCs/>
                <w:i w:val="0"/>
                <w:iCs w:val="0"/>
                <w:caps w:val="0"/>
                <w:color w:val="333333"/>
                <w:spacing w:val="0"/>
                <w:sz w:val="28"/>
                <w:szCs w:val="28"/>
                <w:bdr w:val="none" w:color="auto" w:sz="0" w:space="0"/>
              </w:rPr>
              <w:t>（四）实施系统集成改革先行工程。</w:t>
            </w:r>
            <w:r>
              <w:rPr>
                <w:rFonts w:hint="eastAsia" w:ascii="微软雅黑" w:hAnsi="微软雅黑" w:eastAsia="微软雅黑" w:cs="微软雅黑"/>
                <w:i w:val="0"/>
                <w:iCs w:val="0"/>
                <w:caps w:val="0"/>
                <w:color w:val="333333"/>
                <w:spacing w:val="0"/>
                <w:sz w:val="28"/>
                <w:szCs w:val="28"/>
                <w:bdr w:val="none" w:color="auto" w:sz="0" w:space="0"/>
              </w:rPr>
              <w:t>完善政策体系，加快推动公立医院高质量发展。建设高水平县级医院，全力争创国家县级强院、省级三甲医院。发挥特色优势，全面深化中医药综合改革先行区建设，持续擦亮基层卫生改革金名片。</w:t>
            </w:r>
          </w:p>
          <w:p>
            <w:pPr>
              <w:pStyle w:val="2"/>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420"/>
              <w:jc w:val="both"/>
              <w:rPr>
                <w:rFonts w:hint="eastAsia" w:ascii="微软雅黑" w:hAnsi="微软雅黑" w:eastAsia="微软雅黑" w:cs="微软雅黑"/>
                <w:color w:val="333333"/>
                <w:sz w:val="28"/>
                <w:szCs w:val="28"/>
              </w:rPr>
            </w:pPr>
            <w:r>
              <w:rPr>
                <w:rStyle w:val="5"/>
                <w:rFonts w:hint="eastAsia" w:ascii="微软雅黑" w:hAnsi="微软雅黑" w:eastAsia="微软雅黑" w:cs="微软雅黑"/>
                <w:b/>
                <w:bCs/>
                <w:i w:val="0"/>
                <w:iCs w:val="0"/>
                <w:caps w:val="0"/>
                <w:color w:val="333333"/>
                <w:spacing w:val="0"/>
                <w:sz w:val="28"/>
                <w:szCs w:val="28"/>
                <w:bdr w:val="none" w:color="auto" w:sz="0" w:space="0"/>
              </w:rPr>
              <w:t>（五）实施公共服务“七优享”工程。</w:t>
            </w:r>
            <w:r>
              <w:rPr>
                <w:rFonts w:hint="eastAsia" w:ascii="微软雅黑" w:hAnsi="微软雅黑" w:eastAsia="微软雅黑" w:cs="微软雅黑"/>
                <w:i w:val="0"/>
                <w:iCs w:val="0"/>
                <w:caps w:val="0"/>
                <w:color w:val="333333"/>
                <w:spacing w:val="0"/>
                <w:sz w:val="28"/>
                <w:szCs w:val="28"/>
                <w:bdr w:val="none" w:color="auto" w:sz="0" w:space="0"/>
              </w:rPr>
              <w:t>完善妇幼健康、普惠托育等服务体系，推进“幼有善育”优享。提升县域医疗服务能力，完善村级医疗卫生服务体系，推进“病有良医”优享。加大老年健康服务，深化医养结合，推进“老有康养”优享。</w:t>
            </w:r>
          </w:p>
          <w:p>
            <w:pPr>
              <w:pStyle w:val="2"/>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420"/>
              <w:jc w:val="both"/>
              <w:rPr>
                <w:rFonts w:hint="eastAsia" w:ascii="微软雅黑" w:hAnsi="微软雅黑" w:eastAsia="微软雅黑" w:cs="微软雅黑"/>
                <w:color w:val="333333"/>
                <w:sz w:val="28"/>
                <w:szCs w:val="28"/>
              </w:rPr>
            </w:pPr>
            <w:r>
              <w:rPr>
                <w:rStyle w:val="5"/>
                <w:rFonts w:hint="eastAsia" w:ascii="微软雅黑" w:hAnsi="微软雅黑" w:eastAsia="微软雅黑" w:cs="微软雅黑"/>
                <w:b/>
                <w:bCs/>
                <w:i w:val="0"/>
                <w:iCs w:val="0"/>
                <w:caps w:val="0"/>
                <w:color w:val="333333"/>
                <w:spacing w:val="0"/>
                <w:sz w:val="28"/>
                <w:szCs w:val="28"/>
                <w:bdr w:val="none" w:color="auto" w:sz="0" w:space="0"/>
              </w:rPr>
              <w:t>（六）实施数字健康高地建设工程。</w:t>
            </w:r>
            <w:r>
              <w:rPr>
                <w:rFonts w:hint="eastAsia" w:ascii="微软雅黑" w:hAnsi="微软雅黑" w:eastAsia="微软雅黑" w:cs="微软雅黑"/>
                <w:i w:val="0"/>
                <w:iCs w:val="0"/>
                <w:caps w:val="0"/>
                <w:color w:val="333333"/>
                <w:spacing w:val="0"/>
                <w:sz w:val="28"/>
                <w:szCs w:val="28"/>
                <w:bdr w:val="none" w:color="auto" w:sz="0" w:space="0"/>
              </w:rPr>
              <w:t>全面推广市人民医院“5G+AI”区域影像人工智能诊断平台和诸暨市“AI”人工智能临床辅助决策支持平台，全力打造多跨场景应用，促进医改和数改融合发展，打通医疗服务最后一公里。</w:t>
            </w:r>
          </w:p>
          <w:p>
            <w:pPr>
              <w:pStyle w:val="2"/>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420"/>
              <w:jc w:val="both"/>
              <w:rPr>
                <w:rFonts w:hint="eastAsia" w:ascii="微软雅黑" w:hAnsi="微软雅黑" w:eastAsia="微软雅黑" w:cs="微软雅黑"/>
                <w:color w:val="333333"/>
                <w:sz w:val="28"/>
                <w:szCs w:val="28"/>
              </w:rPr>
            </w:pPr>
            <w:r>
              <w:rPr>
                <w:rStyle w:val="5"/>
                <w:rFonts w:hint="eastAsia" w:ascii="微软雅黑" w:hAnsi="微软雅黑" w:eastAsia="微软雅黑" w:cs="微软雅黑"/>
                <w:b/>
                <w:bCs/>
                <w:i w:val="0"/>
                <w:iCs w:val="0"/>
                <w:caps w:val="0"/>
                <w:color w:val="333333"/>
                <w:spacing w:val="0"/>
                <w:sz w:val="28"/>
                <w:szCs w:val="28"/>
                <w:bdr w:val="none" w:color="auto" w:sz="0" w:space="0"/>
              </w:rPr>
              <w:t>（七）实施全力以赴护航亚运会保障工程。</w:t>
            </w:r>
            <w:r>
              <w:rPr>
                <w:rFonts w:hint="eastAsia" w:ascii="微软雅黑" w:hAnsi="微软雅黑" w:eastAsia="微软雅黑" w:cs="微软雅黑"/>
                <w:i w:val="0"/>
                <w:iCs w:val="0"/>
                <w:caps w:val="0"/>
                <w:color w:val="333333"/>
                <w:spacing w:val="0"/>
                <w:sz w:val="28"/>
                <w:szCs w:val="28"/>
                <w:bdr w:val="none" w:color="auto" w:sz="0" w:space="0"/>
              </w:rPr>
              <w:t>科学精准制定亚运会疫情防控政策，配齐配足医疗急救资源，加强卫生监督检查，开展安全生产大排查大整治，保障防控安全、医疗安全，确保不发生公共卫生安全事件，确保全系统平稳。</w:t>
            </w:r>
          </w:p>
          <w:p>
            <w:pPr>
              <w:pStyle w:val="2"/>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420"/>
              <w:jc w:val="both"/>
              <w:rPr>
                <w:rFonts w:hint="eastAsia" w:ascii="微软雅黑" w:hAnsi="微软雅黑" w:eastAsia="微软雅黑" w:cs="微软雅黑"/>
                <w:color w:val="333333"/>
                <w:sz w:val="28"/>
                <w:szCs w:val="28"/>
              </w:rPr>
            </w:pPr>
            <w:r>
              <w:rPr>
                <w:rFonts w:hint="eastAsia" w:ascii="微软雅黑" w:hAnsi="微软雅黑" w:eastAsia="微软雅黑" w:cs="微软雅黑"/>
                <w:i w:val="0"/>
                <w:iCs w:val="0"/>
                <w:caps w:val="0"/>
                <w:color w:val="333333"/>
                <w:spacing w:val="0"/>
                <w:sz w:val="28"/>
                <w:szCs w:val="28"/>
                <w:bdr w:val="none" w:color="auto" w:sz="0" w:space="0"/>
              </w:rPr>
              <w:t>会议要求，各地各单位要坚持党建引领，敢于担当、善于担当，始终秉承“做极致、干精彩、看实效、争一流”的精气神，建立完善“月汇报、季晾晒、年考核”机制，按照工作清单化、清单项目化、项目考核化、考核绩效化和重点工作专班化要求，锚定目标、改革创新、争创一流，高标准高质量完成各项目标任务，奋力打造卫生健康现代化市域标杆。</w:t>
            </w:r>
          </w:p>
          <w:p>
            <w:pPr>
              <w:pStyle w:val="2"/>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jc w:val="center"/>
              <w:rPr>
                <w:rFonts w:hint="eastAsia" w:ascii="微软雅黑" w:hAnsi="微软雅黑" w:eastAsia="微软雅黑" w:cs="微软雅黑"/>
                <w:color w:val="333333"/>
                <w:sz w:val="28"/>
                <w:szCs w:val="28"/>
              </w:rPr>
            </w:pPr>
            <w:r>
              <w:rPr>
                <w:rFonts w:hint="eastAsia" w:ascii="微软雅黑" w:hAnsi="微软雅黑" w:eastAsia="微软雅黑" w:cs="微软雅黑"/>
                <w:i w:val="0"/>
                <w:iCs w:val="0"/>
                <w:caps w:val="0"/>
                <w:color w:val="333333"/>
                <w:spacing w:val="0"/>
                <w:sz w:val="28"/>
                <w:szCs w:val="28"/>
                <w:u w:val="none"/>
                <w:bdr w:val="none" w:color="auto" w:sz="0" w:space="0"/>
              </w:rPr>
              <w:drawing>
                <wp:inline distT="0" distB="0" distL="114300" distR="114300">
                  <wp:extent cx="4972050" cy="3314700"/>
                  <wp:effectExtent l="0" t="0" r="0" b="0"/>
                  <wp:docPr id="8" name="图片 10" descr="IMG_259">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0" descr="IMG_259"/>
                          <pic:cNvPicPr>
                            <a:picLocks noChangeAspect="1"/>
                          </pic:cNvPicPr>
                        </pic:nvPicPr>
                        <pic:blipFill>
                          <a:blip r:embed="rId9"/>
                          <a:stretch>
                            <a:fillRect/>
                          </a:stretch>
                        </pic:blipFill>
                        <pic:spPr>
                          <a:xfrm>
                            <a:off x="0" y="0"/>
                            <a:ext cx="4972050" cy="3314700"/>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420"/>
              <w:jc w:val="both"/>
              <w:rPr>
                <w:rFonts w:hint="eastAsia" w:ascii="微软雅黑" w:hAnsi="微软雅黑" w:eastAsia="微软雅黑" w:cs="微软雅黑"/>
                <w:color w:val="333333"/>
                <w:sz w:val="28"/>
                <w:szCs w:val="28"/>
              </w:rPr>
            </w:pPr>
            <w:r>
              <w:rPr>
                <w:rFonts w:hint="eastAsia" w:ascii="微软雅黑" w:hAnsi="微软雅黑" w:eastAsia="微软雅黑" w:cs="微软雅黑"/>
                <w:i w:val="0"/>
                <w:iCs w:val="0"/>
                <w:caps w:val="0"/>
                <w:color w:val="333333"/>
                <w:spacing w:val="0"/>
                <w:sz w:val="28"/>
                <w:szCs w:val="28"/>
                <w:bdr w:val="none" w:color="auto" w:sz="0" w:space="0"/>
              </w:rPr>
              <w:t>会上，委领导分别对条线重点工作进行点评部署。诸暨市卫生健康局、新昌县卫生健康局、绍兴市人民医院、绍兴市中医院、绍兴市疾控中心等5家单位分别围绕基层卫生服务体系、“一老一小”健康服务、公立医院高质量发展、中医药传承创新发展、疾病防控作交流发言。会议通报表扬了2022年度区、县（市）卫生健康工作目标任务考核先进单位和市直医疗卫生健康单位重点工作目标责任制考核一等奖单位。</w:t>
            </w:r>
          </w:p>
          <w:p>
            <w:pPr>
              <w:pStyle w:val="2"/>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240" w:lineRule="auto"/>
              <w:ind w:left="0" w:right="0" w:firstLine="420"/>
              <w:jc w:val="both"/>
              <w:rPr>
                <w:rFonts w:hint="eastAsia" w:ascii="微软雅黑" w:hAnsi="微软雅黑" w:eastAsia="微软雅黑" w:cs="微软雅黑"/>
                <w:color w:val="333333"/>
              </w:rPr>
            </w:pPr>
            <w:r>
              <w:rPr>
                <w:rFonts w:hint="eastAsia" w:ascii="微软雅黑" w:hAnsi="微软雅黑" w:eastAsia="微软雅黑" w:cs="微软雅黑"/>
                <w:i w:val="0"/>
                <w:iCs w:val="0"/>
                <w:caps w:val="0"/>
                <w:color w:val="333333"/>
                <w:spacing w:val="0"/>
                <w:sz w:val="28"/>
                <w:szCs w:val="28"/>
                <w:bdr w:val="none" w:color="auto" w:sz="0" w:space="0"/>
              </w:rPr>
              <w:t>市卫生健康委领导班子成员，机关中层以上干部；各区、县（市）卫生健康局班子成员，办公室主任；市直医疗卫生健康单位班子成员参加会议。（委办公室、宣教处）</w:t>
            </w:r>
          </w:p>
        </w:tc>
      </w:tr>
    </w:tbl>
    <w:p>
      <w:pPr>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750" w:lineRule="atLeast"/>
        <w:ind w:left="0" w:right="0" w:firstLine="0"/>
        <w:jc w:val="center"/>
        <w:rPr>
          <w:rFonts w:hint="eastAsia" w:ascii="微软雅黑" w:hAnsi="微软雅黑" w:eastAsia="微软雅黑" w:cs="微软雅黑"/>
          <w:i w:val="0"/>
          <w:iCs w:val="0"/>
          <w:caps w:val="0"/>
          <w:color w:val="333333"/>
          <w:spacing w:val="0"/>
          <w:kern w:val="0"/>
          <w:sz w:val="37"/>
          <w:szCs w:val="37"/>
          <w:bdr w:val="none" w:color="auto" w:sz="0" w:space="0"/>
          <w:lang w:val="en-US" w:eastAsia="zh-CN" w:bidi="ar"/>
        </w:rPr>
      </w:pPr>
    </w:p>
    <w:tbl>
      <w:tblPr>
        <w:tblW w:w="45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Layout w:type="autofit"/>
        <w:tblCellMar>
          <w:top w:w="0" w:type="dxa"/>
          <w:left w:w="0" w:type="dxa"/>
          <w:bottom w:w="0" w:type="dxa"/>
          <w:right w:w="0" w:type="dxa"/>
        </w:tblCellMar>
      </w:tblPr>
      <w:tblGrid>
        <w:gridCol w:w="747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0" w:type="dxa"/>
            <w:bottom w:w="0" w:type="dxa"/>
            <w:right w:w="0" w:type="dxa"/>
          </w:tblCellMar>
        </w:tblPrEx>
        <w:trPr>
          <w:jc w:val="center"/>
        </w:trPr>
        <w:tc>
          <w:tcPr>
            <w:tcW w:w="0" w:type="auto"/>
            <w:shd w:val="cle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750" w:lineRule="atLeast"/>
              <w:ind w:left="0" w:right="0" w:firstLine="0"/>
              <w:jc w:val="center"/>
              <w:rPr>
                <w:rFonts w:hint="eastAsia" w:ascii="微软雅黑" w:hAnsi="微软雅黑" w:eastAsia="微软雅黑" w:cs="微软雅黑"/>
                <w:i w:val="0"/>
                <w:iCs w:val="0"/>
                <w:caps w:val="0"/>
                <w:color w:val="333333"/>
                <w:spacing w:val="0"/>
                <w:kern w:val="0"/>
                <w:sz w:val="37"/>
                <w:szCs w:val="37"/>
                <w:bdr w:val="none" w:color="auto" w:sz="0" w:space="0"/>
                <w:lang w:val="en-US" w:eastAsia="zh-CN" w:bidi="ar"/>
              </w:rPr>
            </w:pPr>
          </w:p>
          <w:p>
            <w:pPr>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750" w:lineRule="atLeast"/>
              <w:ind w:left="0" w:right="0" w:firstLine="0"/>
              <w:jc w:val="center"/>
              <w:rPr>
                <w:rFonts w:ascii="微软雅黑" w:hAnsi="微软雅黑" w:eastAsia="微软雅黑" w:cs="微软雅黑"/>
                <w:i w:val="0"/>
                <w:iCs w:val="0"/>
                <w:caps w:val="0"/>
                <w:color w:val="333333"/>
                <w:spacing w:val="0"/>
                <w:sz w:val="37"/>
                <w:szCs w:val="37"/>
              </w:rPr>
            </w:pPr>
            <w:r>
              <w:rPr>
                <w:rFonts w:hint="eastAsia" w:ascii="微软雅黑" w:hAnsi="微软雅黑" w:eastAsia="微软雅黑" w:cs="微软雅黑"/>
                <w:i w:val="0"/>
                <w:iCs w:val="0"/>
                <w:caps w:val="0"/>
                <w:color w:val="333333"/>
                <w:spacing w:val="0"/>
                <w:kern w:val="0"/>
                <w:sz w:val="37"/>
                <w:szCs w:val="37"/>
                <w:bdr w:val="none" w:color="auto" w:sz="0" w:space="0"/>
                <w:lang w:val="en-US" w:eastAsia="zh-CN" w:bidi="ar"/>
              </w:rPr>
              <w:t>市卫生健康委党委召开全市卫生健康系统党建和清廉建设工作会议</w:t>
            </w:r>
          </w:p>
          <w:p>
            <w:pPr>
              <w:keepNext w:val="0"/>
              <w:keepLines w:val="0"/>
              <w:widowControl/>
              <w:suppressLineNumbers w:val="0"/>
              <w:pBdr>
                <w:top w:val="single" w:color="CCCCCC" w:sz="6" w:space="0"/>
                <w:left w:val="none" w:color="auto" w:sz="0" w:space="0"/>
                <w:bottom w:val="none" w:color="auto" w:sz="0" w:space="0"/>
                <w:right w:val="none" w:color="auto" w:sz="0" w:space="0"/>
              </w:pBdr>
              <w:wordWrap w:val="0"/>
              <w:spacing w:before="75" w:beforeAutospacing="0" w:after="75" w:afterAutospacing="0"/>
              <w:ind w:left="75" w:right="75"/>
              <w:jc w:val="center"/>
              <w:rPr>
                <w:color w:val="DDDDDD"/>
              </w:rPr>
            </w:pPr>
            <w:r>
              <w:rPr>
                <w:rFonts w:ascii="微软雅黑" w:hAnsi="微软雅黑" w:eastAsia="微软雅黑" w:cs="微软雅黑"/>
                <w:i w:val="0"/>
                <w:iCs w:val="0"/>
                <w:caps w:val="0"/>
                <w:color w:val="333333"/>
                <w:spacing w:val="0"/>
                <w:sz w:val="37"/>
                <w:szCs w:val="37"/>
              </w:rPr>
              <w:pict>
                <v:rect id="_x0000_i1025" o:spt="1" style="height:0.75pt;width:388.8pt;" fillcolor="#DDDDDD" filled="t" stroked="f" coordsize="21600,21600" o:hr="t" o:hrstd="t" o:hrnoshade="t" o:hralign="center">
                  <v:path/>
                  <v:fill on="t" focussize="0,0"/>
                  <v:stroke on="f"/>
                  <v:imagedata o:title=""/>
                  <o:lock v:ext="edit"/>
                  <w10:wrap type="none"/>
                  <w10:anchorlock/>
                </v:rect>
              </w:pic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0" w:type="dxa"/>
            <w:bottom w:w="0" w:type="dxa"/>
            <w:right w:w="0" w:type="dxa"/>
          </w:tblCellMar>
        </w:tblPrEx>
        <w:trPr>
          <w:jc w:val="center"/>
        </w:trPr>
        <w:tc>
          <w:tcPr>
            <w:tcW w:w="6" w:type="dxa"/>
            <w:shd w:val="clear"/>
            <w:vAlign w:val="center"/>
          </w:tcPr>
          <w:tbl>
            <w:tblPr>
              <w:tblW w:w="50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Layout w:type="autofit"/>
              <w:tblCellMar>
                <w:top w:w="15" w:type="dxa"/>
                <w:left w:w="15" w:type="dxa"/>
                <w:bottom w:w="15" w:type="dxa"/>
                <w:right w:w="15" w:type="dxa"/>
              </w:tblCellMar>
            </w:tblPr>
            <w:tblGrid>
              <w:gridCol w:w="2242"/>
              <w:gridCol w:w="841"/>
              <w:gridCol w:w="841"/>
              <w:gridCol w:w="841"/>
              <w:gridCol w:w="841"/>
              <w:gridCol w:w="186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15" w:type="dxa"/>
                  <w:left w:w="15" w:type="dxa"/>
                  <w:bottom w:w="15" w:type="dxa"/>
                  <w:right w:w="15" w:type="dxa"/>
                </w:tblCellMar>
              </w:tblPrEx>
              <w:trPr>
                <w:jc w:val="center"/>
              </w:trPr>
              <w:tc>
                <w:tcPr>
                  <w:tcW w:w="1500" w:type="pct"/>
                  <w:shd w:val="clear"/>
                  <w:tcMar>
                    <w:top w:w="0" w:type="dxa"/>
                    <w:left w:w="0" w:type="dxa"/>
                    <w:bottom w:w="0" w:type="dxa"/>
                    <w:right w:w="0" w:type="dxa"/>
                  </w:tcMar>
                  <w:vAlign w:val="center"/>
                </w:tcPr>
                <w:p>
                  <w:pPr>
                    <w:keepNext w:val="0"/>
                    <w:keepLines w:val="0"/>
                    <w:widowControl/>
                    <w:suppressLineNumbers w:val="0"/>
                    <w:spacing w:before="0" w:beforeAutospacing="0" w:after="0" w:afterAutospacing="0"/>
                    <w:ind w:left="0" w:right="0"/>
                    <w:jc w:val="right"/>
                    <w:rPr>
                      <w:rFonts w:hint="eastAsia" w:ascii="微软雅黑" w:hAnsi="微软雅黑" w:eastAsia="微软雅黑" w:cs="微软雅黑"/>
                      <w:color w:val="333333"/>
                      <w:sz w:val="22"/>
                      <w:szCs w:val="22"/>
                    </w:rPr>
                  </w:pPr>
                </w:p>
              </w:tc>
              <w:tc>
                <w:tcPr>
                  <w:tcW w:w="6" w:type="dxa"/>
                  <w:shd w:val="clear"/>
                  <w:tcMar>
                    <w:top w:w="0" w:type="dxa"/>
                    <w:left w:w="0" w:type="dxa"/>
                    <w:bottom w:w="0" w:type="dxa"/>
                    <w:right w:w="0" w:type="dxa"/>
                  </w:tcMar>
                  <w:vAlign w:val="center"/>
                </w:tcPr>
                <w:p>
                  <w:pPr>
                    <w:keepNext w:val="0"/>
                    <w:keepLines w:val="0"/>
                    <w:widowControl/>
                    <w:suppressLineNumbers w:val="0"/>
                    <w:spacing w:before="0" w:beforeAutospacing="0" w:after="0" w:afterAutospacing="0"/>
                    <w:ind w:left="0" w:right="0"/>
                    <w:jc w:val="right"/>
                    <w:rPr>
                      <w:rFonts w:hint="eastAsia" w:ascii="微软雅黑" w:hAnsi="微软雅黑" w:eastAsia="微软雅黑" w:cs="微软雅黑"/>
                      <w:color w:val="333333"/>
                      <w:sz w:val="22"/>
                      <w:szCs w:val="22"/>
                    </w:rPr>
                  </w:pPr>
                </w:p>
              </w:tc>
              <w:tc>
                <w:tcPr>
                  <w:tcW w:w="6" w:type="dxa"/>
                  <w:shd w:val="clear"/>
                  <w:tcMar>
                    <w:top w:w="0" w:type="dxa"/>
                    <w:left w:w="0" w:type="dxa"/>
                    <w:bottom w:w="0" w:type="dxa"/>
                    <w:right w:w="0" w:type="dxa"/>
                  </w:tcMar>
                  <w:vAlign w:val="center"/>
                </w:tcPr>
                <w:p>
                  <w:pPr>
                    <w:keepNext w:val="0"/>
                    <w:keepLines w:val="0"/>
                    <w:widowControl/>
                    <w:suppressLineNumbers w:val="0"/>
                    <w:spacing w:before="0" w:beforeAutospacing="0" w:after="0" w:afterAutospacing="0"/>
                    <w:ind w:left="0" w:right="0"/>
                    <w:jc w:val="center"/>
                    <w:rPr>
                      <w:rFonts w:hint="eastAsia" w:ascii="微软雅黑" w:hAnsi="微软雅黑" w:eastAsia="微软雅黑" w:cs="微软雅黑"/>
                      <w:color w:val="333333"/>
                      <w:sz w:val="22"/>
                      <w:szCs w:val="22"/>
                    </w:rPr>
                  </w:pPr>
                </w:p>
              </w:tc>
              <w:tc>
                <w:tcPr>
                  <w:tcW w:w="6" w:type="dxa"/>
                  <w:shd w:val="clear"/>
                  <w:tcMar>
                    <w:top w:w="0" w:type="dxa"/>
                    <w:left w:w="0" w:type="dxa"/>
                    <w:bottom w:w="0" w:type="dxa"/>
                    <w:right w:w="0" w:type="dxa"/>
                  </w:tcMar>
                  <w:vAlign w:val="center"/>
                </w:tcPr>
                <w:p>
                  <w:pPr>
                    <w:keepNext w:val="0"/>
                    <w:keepLines w:val="0"/>
                    <w:widowControl/>
                    <w:suppressLineNumbers w:val="0"/>
                    <w:spacing w:before="0" w:beforeAutospacing="0" w:after="0" w:afterAutospacing="0"/>
                    <w:ind w:left="0" w:right="0"/>
                    <w:jc w:val="left"/>
                    <w:rPr>
                      <w:rFonts w:hint="eastAsia" w:ascii="微软雅黑" w:hAnsi="微软雅黑" w:eastAsia="微软雅黑" w:cs="微软雅黑"/>
                      <w:color w:val="333333"/>
                      <w:sz w:val="22"/>
                      <w:szCs w:val="22"/>
                    </w:rPr>
                  </w:pPr>
                </w:p>
              </w:tc>
              <w:tc>
                <w:tcPr>
                  <w:tcW w:w="6" w:type="dxa"/>
                  <w:shd w:val="clear"/>
                  <w:tcMar>
                    <w:top w:w="0" w:type="dxa"/>
                    <w:left w:w="0" w:type="dxa"/>
                    <w:bottom w:w="0" w:type="dxa"/>
                    <w:right w:w="0" w:type="dxa"/>
                  </w:tcMar>
                  <w:vAlign w:val="center"/>
                </w:tcPr>
                <w:p>
                  <w:pPr>
                    <w:keepNext w:val="0"/>
                    <w:keepLines w:val="0"/>
                    <w:widowControl/>
                    <w:suppressLineNumbers w:val="0"/>
                    <w:spacing w:before="0" w:beforeAutospacing="0" w:after="0" w:afterAutospacing="0"/>
                    <w:ind w:left="0" w:right="0"/>
                    <w:jc w:val="left"/>
                    <w:rPr>
                      <w:rFonts w:hint="eastAsia" w:ascii="微软雅黑" w:hAnsi="微软雅黑" w:eastAsia="微软雅黑" w:cs="微软雅黑"/>
                      <w:color w:val="333333"/>
                      <w:sz w:val="22"/>
                      <w:szCs w:val="22"/>
                    </w:rPr>
                  </w:pPr>
                </w:p>
              </w:tc>
              <w:tc>
                <w:tcPr>
                  <w:tcW w:w="1250" w:type="pct"/>
                  <w:shd w:val="clear"/>
                  <w:tcMar>
                    <w:top w:w="0" w:type="dxa"/>
                    <w:left w:w="0" w:type="dxa"/>
                    <w:bottom w:w="0" w:type="dxa"/>
                    <w:right w:w="0" w:type="dxa"/>
                  </w:tcMar>
                  <w:vAlign w:val="center"/>
                </w:tcPr>
                <w:p>
                  <w:pPr>
                    <w:jc w:val="left"/>
                    <w:rPr>
                      <w:rFonts w:hint="eastAsia" w:ascii="微软雅黑" w:hAnsi="微软雅黑" w:eastAsia="微软雅黑" w:cs="微软雅黑"/>
                      <w:color w:val="333333"/>
                      <w:sz w:val="22"/>
                      <w:szCs w:val="22"/>
                    </w:rPr>
                  </w:pPr>
                </w:p>
              </w:tc>
            </w:tr>
          </w:tbl>
          <w:p>
            <w:pPr>
              <w:keepNext w:val="0"/>
              <w:keepLines w:val="0"/>
              <w:widowControl/>
              <w:suppressLineNumbers w:val="0"/>
              <w:wordWrap w:val="0"/>
              <w:spacing w:before="0" w:beforeAutospacing="0" w:after="0" w:afterAutospacing="0"/>
              <w:ind w:left="0" w:right="0" w:firstLine="0"/>
              <w:jc w:val="left"/>
              <w:rPr>
                <w:rFonts w:hint="eastAsia" w:ascii="微软雅黑" w:hAnsi="微软雅黑" w:eastAsia="微软雅黑" w:cs="微软雅黑"/>
                <w:i w:val="0"/>
                <w:iCs w:val="0"/>
                <w:caps w:val="0"/>
                <w:color w:val="333333"/>
                <w:spacing w:val="0"/>
                <w:sz w:val="22"/>
                <w:szCs w:val="2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0" w:type="dxa"/>
            <w:bottom w:w="0" w:type="dxa"/>
            <w:right w:w="0" w:type="dxa"/>
          </w:tblCellMar>
        </w:tblPrEx>
        <w:trPr>
          <w:jc w:val="center"/>
        </w:trPr>
        <w:tc>
          <w:tcPr>
            <w:tcW w:w="0" w:type="auto"/>
            <w:shd w:val="clear"/>
            <w:vAlign w:val="center"/>
          </w:tcPr>
          <w:p>
            <w:pPr>
              <w:pStyle w:val="2"/>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ind w:left="0" w:right="0"/>
              <w:jc w:val="left"/>
              <w:rPr>
                <w:rFonts w:hint="eastAsia" w:ascii="微软雅黑" w:hAnsi="微软雅黑" w:eastAsia="微软雅黑" w:cs="微软雅黑"/>
                <w:color w:val="333333"/>
                <w:sz w:val="28"/>
                <w:szCs w:val="28"/>
              </w:rPr>
            </w:pPr>
            <w:r>
              <w:rPr>
                <w:rFonts w:hint="eastAsia" w:ascii="微软雅黑" w:hAnsi="微软雅黑" w:eastAsia="微软雅黑" w:cs="微软雅黑"/>
                <w:i w:val="0"/>
                <w:iCs w:val="0"/>
                <w:caps w:val="0"/>
                <w:color w:val="333333"/>
                <w:spacing w:val="0"/>
                <w:sz w:val="22"/>
                <w:szCs w:val="22"/>
                <w:bdr w:val="none" w:color="auto" w:sz="0" w:space="0"/>
              </w:rPr>
              <w:t>     </w:t>
            </w:r>
            <w:r>
              <w:rPr>
                <w:rFonts w:hint="eastAsia" w:ascii="微软雅黑" w:hAnsi="微软雅黑" w:eastAsia="微软雅黑" w:cs="微软雅黑"/>
                <w:i w:val="0"/>
                <w:iCs w:val="0"/>
                <w:caps w:val="0"/>
                <w:color w:val="333333"/>
                <w:spacing w:val="0"/>
                <w:sz w:val="28"/>
                <w:szCs w:val="28"/>
                <w:bdr w:val="none" w:color="auto" w:sz="0" w:space="0"/>
              </w:rPr>
              <w:t xml:space="preserve">  5月12日，市卫生健康委党委召开全市卫生健康系统党建和清廉建设工作会议，系统回顾了2022年以来全市卫生健康系统党建和清廉建设工作所取得的成效，研究部署了2023年重点任务。委党委书记、主任王宏达参加会议并讲话，各区、县（市）卫生健康局和市直医疗卫生健康单位党组织负责人参加会议。</w:t>
            </w:r>
          </w:p>
          <w:p>
            <w:pPr>
              <w:pStyle w:val="2"/>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ind w:left="0" w:right="0"/>
              <w:jc w:val="center"/>
              <w:rPr>
                <w:rFonts w:hint="eastAsia" w:ascii="微软雅黑" w:hAnsi="微软雅黑" w:eastAsia="微软雅黑" w:cs="微软雅黑"/>
                <w:color w:val="333333"/>
                <w:sz w:val="28"/>
                <w:szCs w:val="28"/>
              </w:rPr>
            </w:pPr>
            <w:r>
              <w:rPr>
                <w:rFonts w:hint="eastAsia" w:ascii="微软雅黑" w:hAnsi="微软雅黑" w:eastAsia="微软雅黑" w:cs="微软雅黑"/>
                <w:i w:val="0"/>
                <w:iCs w:val="0"/>
                <w:caps w:val="0"/>
                <w:color w:val="333333"/>
                <w:spacing w:val="0"/>
                <w:sz w:val="28"/>
                <w:szCs w:val="28"/>
                <w:u w:val="none"/>
                <w:bdr w:val="none" w:color="auto" w:sz="0" w:space="0"/>
              </w:rPr>
              <w:fldChar w:fldCharType="begin"/>
            </w:r>
            <w:r>
              <w:rPr>
                <w:rFonts w:hint="eastAsia" w:ascii="微软雅黑" w:hAnsi="微软雅黑" w:eastAsia="微软雅黑" w:cs="微软雅黑"/>
                <w:i w:val="0"/>
                <w:iCs w:val="0"/>
                <w:caps w:val="0"/>
                <w:color w:val="333333"/>
                <w:spacing w:val="0"/>
                <w:sz w:val="28"/>
                <w:szCs w:val="28"/>
                <w:u w:val="none"/>
                <w:bdr w:val="none" w:color="auto" w:sz="0" w:space="0"/>
              </w:rPr>
              <w:instrText xml:space="preserve"> HYPERLINK "https://sxws.sx.gov.cn/picture/0/398d610c09994d039be37128574d5da8.jpg" \t "https://sxws.sx.gov.cn/art/2023/5/14/_blank" </w:instrText>
            </w:r>
            <w:r>
              <w:rPr>
                <w:rFonts w:hint="eastAsia" w:ascii="微软雅黑" w:hAnsi="微软雅黑" w:eastAsia="微软雅黑" w:cs="微软雅黑"/>
                <w:i w:val="0"/>
                <w:iCs w:val="0"/>
                <w:caps w:val="0"/>
                <w:color w:val="333333"/>
                <w:spacing w:val="0"/>
                <w:sz w:val="28"/>
                <w:szCs w:val="28"/>
                <w:u w:val="none"/>
                <w:bdr w:val="none" w:color="auto" w:sz="0" w:space="0"/>
              </w:rPr>
              <w:fldChar w:fldCharType="separate"/>
            </w:r>
            <w:r>
              <w:rPr>
                <w:rFonts w:hint="eastAsia" w:ascii="微软雅黑" w:hAnsi="微软雅黑" w:eastAsia="微软雅黑" w:cs="微软雅黑"/>
                <w:i w:val="0"/>
                <w:iCs w:val="0"/>
                <w:caps w:val="0"/>
                <w:color w:val="333333"/>
                <w:spacing w:val="0"/>
                <w:sz w:val="28"/>
                <w:szCs w:val="28"/>
                <w:u w:val="none"/>
                <w:bdr w:val="none" w:color="auto" w:sz="0" w:space="0"/>
              </w:rPr>
              <w:fldChar w:fldCharType="end"/>
            </w:r>
            <w:r>
              <w:rPr>
                <w:rFonts w:hint="eastAsia" w:ascii="微软雅黑" w:hAnsi="微软雅黑" w:eastAsia="微软雅黑" w:cs="微软雅黑"/>
                <w:i w:val="0"/>
                <w:iCs w:val="0"/>
                <w:caps w:val="0"/>
                <w:color w:val="333333"/>
                <w:spacing w:val="0"/>
                <w:sz w:val="28"/>
                <w:szCs w:val="28"/>
                <w:u w:val="none"/>
                <w:bdr w:val="none" w:color="auto" w:sz="0" w:space="0"/>
              </w:rPr>
              <w:drawing>
                <wp:inline distT="0" distB="0" distL="114300" distR="114300">
                  <wp:extent cx="4591050" cy="3133725"/>
                  <wp:effectExtent l="0" t="0" r="0" b="9525"/>
                  <wp:docPr id="1" name="图片 3" descr="IMG_257">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descr="IMG_257"/>
                          <pic:cNvPicPr>
                            <a:picLocks noChangeAspect="1"/>
                          </pic:cNvPicPr>
                        </pic:nvPicPr>
                        <pic:blipFill>
                          <a:blip r:embed="rId11"/>
                          <a:stretch>
                            <a:fillRect/>
                          </a:stretch>
                        </pic:blipFill>
                        <pic:spPr>
                          <a:xfrm>
                            <a:off x="0" y="0"/>
                            <a:ext cx="4591050" cy="3133725"/>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ind w:left="0" w:right="0"/>
              <w:jc w:val="left"/>
              <w:rPr>
                <w:rFonts w:hint="eastAsia" w:ascii="微软雅黑" w:hAnsi="微软雅黑" w:eastAsia="微软雅黑" w:cs="微软雅黑"/>
                <w:color w:val="333333"/>
                <w:sz w:val="28"/>
                <w:szCs w:val="28"/>
              </w:rPr>
            </w:pPr>
            <w:r>
              <w:rPr>
                <w:rFonts w:hint="eastAsia" w:ascii="微软雅黑" w:hAnsi="微软雅黑" w:eastAsia="微软雅黑" w:cs="微软雅黑"/>
                <w:i w:val="0"/>
                <w:iCs w:val="0"/>
                <w:caps w:val="0"/>
                <w:color w:val="333333"/>
                <w:spacing w:val="0"/>
                <w:sz w:val="28"/>
                <w:szCs w:val="28"/>
                <w:bdr w:val="none" w:color="auto" w:sz="0" w:space="0"/>
              </w:rPr>
              <w:t>       会议指出，2022年以来，全市卫生健康系统着眼夯实“红色根脉”稳固根基，以打造“党建+医学”双高地为总牵引，着力强统领、抓基础、提质效，全市抓党建、铸忠诚的意识更加牢固，抓党建、强统领的机制更加健全，抓党建、重基层的导向更加鲜明，抓党建、促智治的格局更加完善，抓党建、树清廉的举措更加有力，各项工作取得了积极的成效。</w:t>
            </w:r>
          </w:p>
          <w:p>
            <w:pPr>
              <w:pStyle w:val="2"/>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ind w:left="0" w:right="0"/>
              <w:jc w:val="center"/>
              <w:rPr>
                <w:rFonts w:hint="eastAsia" w:ascii="微软雅黑" w:hAnsi="微软雅黑" w:eastAsia="微软雅黑" w:cs="微软雅黑"/>
                <w:color w:val="333333"/>
                <w:sz w:val="28"/>
                <w:szCs w:val="28"/>
              </w:rPr>
            </w:pPr>
            <w:r>
              <w:rPr>
                <w:rFonts w:hint="eastAsia" w:ascii="微软雅黑" w:hAnsi="微软雅黑" w:eastAsia="微软雅黑" w:cs="微软雅黑"/>
                <w:i w:val="0"/>
                <w:iCs w:val="0"/>
                <w:caps w:val="0"/>
                <w:color w:val="333333"/>
                <w:spacing w:val="0"/>
                <w:sz w:val="28"/>
                <w:szCs w:val="28"/>
                <w:u w:val="none"/>
                <w:bdr w:val="none" w:color="auto" w:sz="0" w:space="0"/>
              </w:rPr>
              <w:drawing>
                <wp:inline distT="0" distB="0" distL="114300" distR="114300">
                  <wp:extent cx="4619625" cy="3190875"/>
                  <wp:effectExtent l="0" t="0" r="9525" b="9525"/>
                  <wp:docPr id="3" name="图片 4" descr="IMG_258">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descr="IMG_258"/>
                          <pic:cNvPicPr>
                            <a:picLocks noChangeAspect="1"/>
                          </pic:cNvPicPr>
                        </pic:nvPicPr>
                        <pic:blipFill>
                          <a:blip r:embed="rId13"/>
                          <a:stretch>
                            <a:fillRect/>
                          </a:stretch>
                        </pic:blipFill>
                        <pic:spPr>
                          <a:xfrm>
                            <a:off x="0" y="0"/>
                            <a:ext cx="4619625" cy="3190875"/>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ind w:left="0" w:right="0"/>
              <w:jc w:val="center"/>
              <w:rPr>
                <w:rFonts w:hint="eastAsia" w:ascii="微软雅黑" w:hAnsi="微软雅黑" w:eastAsia="微软雅黑" w:cs="微软雅黑"/>
                <w:color w:val="333333"/>
                <w:sz w:val="28"/>
                <w:szCs w:val="28"/>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ind w:left="0" w:right="0"/>
              <w:jc w:val="left"/>
              <w:rPr>
                <w:rFonts w:hint="eastAsia" w:ascii="微软雅黑" w:hAnsi="微软雅黑" w:eastAsia="微软雅黑" w:cs="微软雅黑"/>
                <w:color w:val="333333"/>
                <w:sz w:val="28"/>
                <w:szCs w:val="28"/>
              </w:rPr>
            </w:pPr>
            <w:r>
              <w:rPr>
                <w:rFonts w:hint="eastAsia" w:ascii="微软雅黑" w:hAnsi="微软雅黑" w:eastAsia="微软雅黑" w:cs="微软雅黑"/>
                <w:i w:val="0"/>
                <w:iCs w:val="0"/>
                <w:caps w:val="0"/>
                <w:color w:val="333333"/>
                <w:spacing w:val="0"/>
                <w:sz w:val="28"/>
                <w:szCs w:val="28"/>
                <w:bdr w:val="none" w:color="auto" w:sz="0" w:space="0"/>
              </w:rPr>
              <w:t>       会议强调，2023年大事、要事、喜事多，系统上下要突出抓好政治引领，增强捍卫“两个确立”的政治自觉，高质量高标准开展主题教育，抓好意识形态工作的责任落实；要全面夯实基层基础，深化公立医院“院科两优、德医双强”工程，全面开展“三型争创、强根壮脉”行动，大力培育“双强六好”民营医院；要全力加强队伍建设，注重选优配强干部队伍，扩大年轻干部源头储备，加强干部的历练关爱；要持续强化聚才磁场，加大引才力度，提升人才质量，优化育才留才环境；广泛凝聚发展合力，持续加强统战工作，充分发挥群团作用，巩固文明城市创建成果；要重视加强信息宣传，切实强化信息报送，全力做好宣传工作。</w:t>
            </w:r>
          </w:p>
          <w:p>
            <w:pPr>
              <w:pStyle w:val="2"/>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ind w:left="0" w:right="0"/>
              <w:jc w:val="left"/>
              <w:rPr>
                <w:rFonts w:hint="eastAsia" w:ascii="微软雅黑" w:hAnsi="微软雅黑" w:eastAsia="微软雅黑" w:cs="微软雅黑"/>
                <w:color w:val="333333"/>
                <w:sz w:val="28"/>
                <w:szCs w:val="28"/>
              </w:rPr>
            </w:pPr>
            <w:r>
              <w:rPr>
                <w:rFonts w:hint="eastAsia" w:ascii="微软雅黑" w:hAnsi="微软雅黑" w:eastAsia="微软雅黑" w:cs="微软雅黑"/>
                <w:i w:val="0"/>
                <w:iCs w:val="0"/>
                <w:caps w:val="0"/>
                <w:color w:val="333333"/>
                <w:spacing w:val="0"/>
                <w:sz w:val="28"/>
                <w:szCs w:val="28"/>
                <w:bdr w:val="none" w:color="auto" w:sz="0" w:space="0"/>
              </w:rPr>
              <w:t>       会议强调，要清醒认识党进行自我革命的决心勇气，清醒认识“越往后越严”的强烈信号，清醒认识医卫领域是当前的反腐重点，清醒认识当前卫健系统廉政和作风建设存在的突出问题。要坚持以“四则协同”为总牵引，以“三不”一体推进为总机制，以清廉医院、清廉机关建设为主抓手，以“严字当头”为主基调，聚力打造清廉建设高地，推动全面从严治党走深走实。</w:t>
            </w:r>
          </w:p>
          <w:p>
            <w:pPr>
              <w:pStyle w:val="2"/>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ind w:left="0" w:right="0"/>
              <w:jc w:val="center"/>
              <w:rPr>
                <w:rFonts w:hint="eastAsia" w:ascii="微软雅黑" w:hAnsi="微软雅黑" w:eastAsia="微软雅黑" w:cs="微软雅黑"/>
                <w:color w:val="333333"/>
                <w:sz w:val="28"/>
                <w:szCs w:val="28"/>
              </w:rPr>
            </w:pPr>
            <w:r>
              <w:rPr>
                <w:rFonts w:hint="eastAsia" w:ascii="微软雅黑" w:hAnsi="微软雅黑" w:eastAsia="微软雅黑" w:cs="微软雅黑"/>
                <w:i w:val="0"/>
                <w:iCs w:val="0"/>
                <w:caps w:val="0"/>
                <w:color w:val="333333"/>
                <w:spacing w:val="0"/>
                <w:sz w:val="28"/>
                <w:szCs w:val="28"/>
                <w:u w:val="none"/>
                <w:bdr w:val="none" w:color="auto" w:sz="0" w:space="0"/>
              </w:rPr>
              <w:drawing>
                <wp:inline distT="0" distB="0" distL="114300" distR="114300">
                  <wp:extent cx="4657725" cy="3105150"/>
                  <wp:effectExtent l="0" t="0" r="9525" b="0"/>
                  <wp:docPr id="4" name="图片 5" descr="IMG_259">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descr="IMG_259"/>
                          <pic:cNvPicPr>
                            <a:picLocks noChangeAspect="1"/>
                          </pic:cNvPicPr>
                        </pic:nvPicPr>
                        <pic:blipFill>
                          <a:blip r:embed="rId15"/>
                          <a:stretch>
                            <a:fillRect/>
                          </a:stretch>
                        </pic:blipFill>
                        <pic:spPr>
                          <a:xfrm>
                            <a:off x="0" y="0"/>
                            <a:ext cx="4657725" cy="3105150"/>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ind w:left="0" w:right="0"/>
              <w:jc w:val="left"/>
              <w:rPr>
                <w:rFonts w:hint="eastAsia" w:ascii="微软雅黑" w:hAnsi="微软雅黑" w:eastAsia="微软雅黑" w:cs="微软雅黑"/>
                <w:color w:val="333333"/>
              </w:rPr>
            </w:pPr>
            <w:r>
              <w:rPr>
                <w:rFonts w:hint="eastAsia" w:ascii="微软雅黑" w:hAnsi="微软雅黑" w:eastAsia="微软雅黑" w:cs="微软雅黑"/>
                <w:i w:val="0"/>
                <w:iCs w:val="0"/>
                <w:caps w:val="0"/>
                <w:color w:val="333333"/>
                <w:spacing w:val="0"/>
                <w:sz w:val="28"/>
                <w:szCs w:val="28"/>
                <w:bdr w:val="none" w:color="auto" w:sz="0" w:space="0"/>
              </w:rPr>
              <w:t>       会议强调，各地各单位要从“五个牢牢把握”将党的领导贯穿于卫生健康事业改革发展的全过程各关节，牢牢把握党对卫生健康工作全面领导这个根本点、牢牢把握提升基层党组织战斗力这个着力点、牢牢把握担当作为奋勇争先这个切入点、牢牢把握始终保持风清气正这个关键点、牢牢把握协同凝聚强大合力这个突破点，始终秉承“做极致、干精彩、看实效、争一流”的精气神，审时度势、锐意进取、攻坚克难、齐头并进，一张蓝图绘到底、一身担当拼到底、一鼓作气抓到底、一路同行走到底，为打造卫生健康现代化市域标杆而努力奋斗。</w:t>
            </w:r>
          </w:p>
        </w:tc>
      </w:tr>
    </w:tbl>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微软雅黑">
    <w:panose1 w:val="020B0503020204020204"/>
    <w:charset w:val="86"/>
    <w:family w:val="auto"/>
    <w:pitch w:val="default"/>
    <w:sig w:usb0="80000287" w:usb1="280F3C52" w:usb2="00000016" w:usb3="00000000" w:csb0="0004001F" w:csb1="00000000"/>
  </w:font>
  <w:font w:name="socialshare">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46867155"/>
    <w:rsid w:val="4686715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uiPriority w:val="0"/>
  </w:style>
  <w:style w:type="table" w:default="1" w:styleId="3">
    <w:name w:val="Normal Table"/>
    <w:semiHidden/>
    <w:uiPriority w:val="0"/>
    <w:tblPr>
      <w:tblCellMar>
        <w:top w:w="0" w:type="dxa"/>
        <w:left w:w="108" w:type="dxa"/>
        <w:bottom w:w="0" w:type="dxa"/>
        <w:right w:w="108" w:type="dxa"/>
      </w:tblCellMar>
    </w:tblPr>
  </w:style>
  <w:style w:type="paragraph" w:styleId="2">
    <w:name w:val="Normal (Web)"/>
    <w:basedOn w:val="1"/>
    <w:uiPriority w:val="0"/>
    <w:pPr>
      <w:spacing w:before="0" w:beforeAutospacing="1" w:after="0" w:afterAutospacing="1"/>
      <w:ind w:left="0" w:right="0"/>
      <w:jc w:val="left"/>
    </w:pPr>
    <w:rPr>
      <w:kern w:val="0"/>
      <w:sz w:val="24"/>
      <w:lang w:val="en-US" w:eastAsia="zh-CN" w:bidi="ar"/>
    </w:rPr>
  </w:style>
  <w:style w:type="character" w:styleId="5">
    <w:name w:val="Strong"/>
    <w:basedOn w:val="4"/>
    <w:qFormat/>
    <w:uiPriority w:val="0"/>
    <w:rPr>
      <w:b/>
    </w:rPr>
  </w:style>
  <w:style w:type="character" w:styleId="6">
    <w:name w:val="Hyperlink"/>
    <w:basedOn w:val="4"/>
    <w:uiPriority w:val="0"/>
    <w:rPr>
      <w:color w:val="0000FF"/>
      <w:u w:val="single"/>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hyperlink" Target="https://sxws.sx.gov.cn/picture/0/722e14d78bbc453986132ec6a2cbfe57.png" TargetMode="External"/><Relationship Id="rId7" Type="http://schemas.openxmlformats.org/officeDocument/2006/relationships/image" Target="media/image2.png"/><Relationship Id="rId6" Type="http://schemas.openxmlformats.org/officeDocument/2006/relationships/hyperlink" Target="https://sxws.sx.gov.cn/picture/0/9cb3d12bdcfc4467ac07360c79d5184a.png" TargetMode="External"/><Relationship Id="rId5" Type="http://schemas.openxmlformats.org/officeDocument/2006/relationships/image" Target="media/image1.png"/><Relationship Id="rId4" Type="http://schemas.openxmlformats.org/officeDocument/2006/relationships/hyperlink" Target="https://sxws.sx.gov.cn/picture/0/79fa04d179fa4ce1aa608bf9b7c24e76.png" TargetMode="External"/><Relationship Id="rId3" Type="http://schemas.openxmlformats.org/officeDocument/2006/relationships/theme" Target="theme/theme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customXml" Target="../customXml/item1.xml"/><Relationship Id="rId15" Type="http://schemas.openxmlformats.org/officeDocument/2006/relationships/image" Target="media/image6.jpeg"/><Relationship Id="rId14" Type="http://schemas.openxmlformats.org/officeDocument/2006/relationships/hyperlink" Target="https://sxws.sx.gov.cn/picture/0/b63c0678e3f74448ab849bd4a55c92b1.jpg" TargetMode="External"/><Relationship Id="rId13" Type="http://schemas.openxmlformats.org/officeDocument/2006/relationships/image" Target="media/image5.jpeg"/><Relationship Id="rId12" Type="http://schemas.openxmlformats.org/officeDocument/2006/relationships/hyperlink" Target="https://sxws.sx.gov.cn/picture/0/659f4fb819ca440a8ec1eb8b72e6e675.jpg" TargetMode="External"/><Relationship Id="rId11" Type="http://schemas.openxmlformats.org/officeDocument/2006/relationships/image" Target="media/image4.jpeg"/><Relationship Id="rId10" Type="http://schemas.openxmlformats.org/officeDocument/2006/relationships/hyperlink" Target="https://sxws.sx.gov.cn/picture/0/d99d9fbec49547d08cefa0a86081c62f.jpg" TargetMode="Externa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2</TotalTime>
  <ScaleCrop>false</ScaleCrop>
  <LinksUpToDate>false</LinksUpToDate>
  <CharactersWithSpaces>0</CharactersWithSpaces>
  <Application>WPS Office_11.8.2.10154_F1E327BC-269C-435d-A152-05C5408002CA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2023-05-15T00:18:00Z</dcterms:created>
  <dc:creator>夏雪</dc:creator>
  <cp:lastModifiedBy>夏雪</cp:lastModifiedBy>
  <dcterms:modified xsi:type="dcterms:W3CDTF">2023-05-15T00:20:43Z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2052-11.8.2.10154</vt:lpwstr>
  </property>
</Properties>
</file>