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2" w:line="221" w:lineRule="auto"/>
        <w:ind w:left="609"/>
        <w:outlineLvl w:val="0"/>
        <w:rPr>
          <w:rFonts w:ascii="黑体" w:hAnsi="黑体" w:eastAsia="黑体" w:cs="黑体"/>
          <w:b/>
          <w:bCs/>
          <w:spacing w:val="5"/>
          <w:sz w:val="34"/>
          <w:szCs w:val="34"/>
        </w:rPr>
      </w:pPr>
      <w:r>
        <w:rPr>
          <w:rFonts w:ascii="黑体" w:hAnsi="黑体" w:eastAsia="黑体" w:cs="黑体"/>
          <w:b/>
          <w:bCs/>
          <w:spacing w:val="5"/>
          <w:sz w:val="34"/>
          <w:szCs w:val="34"/>
        </w:rPr>
        <w:t>2023年度浙江省中医药科学技术奖公示信息表</w:t>
      </w:r>
    </w:p>
    <w:p>
      <w:pPr>
        <w:spacing w:before="102" w:line="221" w:lineRule="auto"/>
        <w:ind w:left="609"/>
        <w:outlineLvl w:val="0"/>
        <w:rPr>
          <w:rFonts w:ascii="黑体" w:hAnsi="黑体" w:eastAsia="黑体" w:cs="黑体"/>
          <w:b/>
          <w:bCs/>
          <w:spacing w:val="5"/>
          <w:sz w:val="34"/>
          <w:szCs w:val="34"/>
        </w:rPr>
      </w:pPr>
    </w:p>
    <w:p>
      <w:pPr>
        <w:spacing w:line="39" w:lineRule="exact"/>
      </w:pPr>
    </w:p>
    <w:tbl>
      <w:tblPr>
        <w:tblStyle w:val="4"/>
        <w:tblW w:w="828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8"/>
        <w:gridCol w:w="65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5" w:hRule="atLeast"/>
        </w:trPr>
        <w:tc>
          <w:tcPr>
            <w:tcW w:w="1768" w:type="dxa"/>
            <w:vAlign w:val="top"/>
          </w:tcPr>
          <w:p>
            <w:pPr>
              <w:pStyle w:val="5"/>
              <w:spacing w:before="265" w:line="220" w:lineRule="auto"/>
              <w:ind w:left="604"/>
            </w:pPr>
            <w:r>
              <w:rPr>
                <w:spacing w:val="2"/>
              </w:rPr>
              <w:t>成果名称</w:t>
            </w:r>
          </w:p>
        </w:tc>
        <w:tc>
          <w:tcPr>
            <w:tcW w:w="6514" w:type="dxa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rPr>
                <w:rFonts w:ascii="Arial"/>
                <w:sz w:val="21"/>
              </w:rPr>
            </w:pPr>
            <w:r>
              <w:t>补肾活血法延缓椎间盘退变的机制研究和临床应用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68" w:type="dxa"/>
            <w:vAlign w:val="top"/>
          </w:tcPr>
          <w:p>
            <w:pPr>
              <w:pStyle w:val="5"/>
              <w:spacing w:before="218" w:line="219" w:lineRule="auto"/>
              <w:ind w:left="604"/>
            </w:pPr>
            <w:r>
              <w:rPr>
                <w:spacing w:val="3"/>
              </w:rPr>
              <w:t>推荐等级</w:t>
            </w:r>
          </w:p>
        </w:tc>
        <w:tc>
          <w:tcPr>
            <w:tcW w:w="6514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应用研究奖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68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440" w:lineRule="exact"/>
              <w:ind w:left="724"/>
            </w:pPr>
            <w:r>
              <w:rPr>
                <w:spacing w:val="5"/>
                <w:position w:val="16"/>
              </w:rPr>
              <w:t>推荐书</w:t>
            </w:r>
          </w:p>
          <w:p>
            <w:pPr>
              <w:pStyle w:val="5"/>
              <w:spacing w:line="219" w:lineRule="auto"/>
              <w:ind w:left="604"/>
            </w:pPr>
            <w:r>
              <w:rPr>
                <w:spacing w:val="2"/>
              </w:rPr>
              <w:t>相关内容</w:t>
            </w:r>
          </w:p>
        </w:tc>
        <w:tc>
          <w:tcPr>
            <w:tcW w:w="6514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240" w:lineRule="auto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代表性论文：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240" w:lineRule="auto"/>
              <w:textAlignment w:val="baseline"/>
              <w:rPr>
                <w:rFonts w:hint="default"/>
                <w:spacing w:val="6"/>
                <w:position w:val="1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1、</w:t>
            </w:r>
            <w:r>
              <w:rPr>
                <w:spacing w:val="6"/>
                <w:position w:val="12"/>
                <w:lang w:val="en-US" w:eastAsia="zh-CN"/>
              </w:rPr>
              <w:t>Bushenhuoxue formula accelerates fracture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 xml:space="preserve"> </w:t>
            </w:r>
            <w:r>
              <w:rPr>
                <w:spacing w:val="6"/>
                <w:position w:val="12"/>
                <w:lang w:val="en-US" w:eastAsia="zh-CN"/>
              </w:rPr>
              <w:t>healing via upregulation of TGF-</w:t>
            </w:r>
            <w:r>
              <w:rPr>
                <w:rFonts w:hint="default"/>
                <w:spacing w:val="6"/>
                <w:position w:val="12"/>
                <w:lang w:val="en-US" w:eastAsia="zh-CN"/>
              </w:rPr>
              <w:t>β/Smad2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 xml:space="preserve"> </w:t>
            </w:r>
            <w:r>
              <w:rPr>
                <w:rFonts w:hint="default"/>
                <w:spacing w:val="6"/>
                <w:position w:val="12"/>
                <w:lang w:val="en-US" w:eastAsia="zh-CN"/>
              </w:rPr>
              <w:t>signaling in mesenchymal progenitor cells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>；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240" w:lineRule="auto"/>
              <w:textAlignment w:val="baseline"/>
              <w:rPr>
                <w:spacing w:val="6"/>
                <w:position w:val="12"/>
                <w:lang w:val="en-US"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2、</w:t>
            </w:r>
            <w:r>
              <w:rPr>
                <w:spacing w:val="6"/>
                <w:position w:val="12"/>
                <w:lang w:val="en-US" w:eastAsia="zh-CN"/>
              </w:rPr>
              <w:t>Valproic Acid: A Potential Therapeutic for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 xml:space="preserve"> </w:t>
            </w:r>
            <w:r>
              <w:rPr>
                <w:rFonts w:hint="default"/>
                <w:spacing w:val="6"/>
                <w:position w:val="12"/>
                <w:lang w:val="en-US" w:eastAsia="zh-CN"/>
              </w:rPr>
              <w:t>Spinal Cord Injury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spacing w:val="6"/>
                <w:position w:val="12"/>
                <w:lang w:val="en-US" w:eastAsia="zh-CN"/>
              </w:rPr>
              <w:t>3、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Amygdalin Delays Cartilage Endplate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Degeneration 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and Improves Intervertebral Disc Degeneration by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Inhibiting NF-κB Signaling Pathway and Inflammatory Response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；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240" w:lineRule="auto"/>
              <w:textAlignment w:val="baseline"/>
              <w:rPr>
                <w:rFonts w:hint="eastAsia"/>
                <w:spacing w:val="6"/>
                <w:position w:val="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4、</w:t>
            </w:r>
            <w:r>
              <w:rPr>
                <w:rFonts w:hint="eastAsia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TNF-α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>椎间盘注射对软骨终板β-catenin与Adamts-5表达影响；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spacing w:val="6"/>
                <w:position w:val="12"/>
                <w:lang w:val="en-US" w:eastAsia="zh-CN"/>
              </w:rPr>
              <w:t>5、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大鼠肾虚型椎间盘软骨终板退变病证结合模型的构建与评价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6、论五脏虚损与椎间盘退变性疾病；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7、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五福饮对椎间盘退变大鼠模型血清及椎间盘炎性因子表达的影响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8、五福饮加减治疗盘源性腰痛的临床研究；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9、张景岳论治慢性筋骨病学术思想探析；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10、张景岳五脏同补学说探析；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发明专利：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药熨帖中锌-枸橼酸发热体系 ZL 2013 1 0065213.8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一种理伤定痛贴膏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ZL 2019 1 0603731.8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一种用于骨水泥弥散的打孔枪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ZL 2021 1 0638652.8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实用新型专利：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一种整脊固定椅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ZL 2020 2 0290626.1；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一种中药用煎药装置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ZL 2021 2 0309303.7；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一种改良中药包煎药袋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ZL 2021 2 0309051.8；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一种基于中药汤剂加工的煎煮装置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 xml:space="preserve"> ZL 2021 2 1251350.7;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著作：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《当代越医经验方集萃》沈钦荣 上海科学技术出版社；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《何廉臣医案》沈钦荣 上海科学技术出版社；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《张景岳医论医案》沈钦荣 上海科学技术出版社；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《存存斋医论》沈钦荣 中国中医药出版社；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position w:val="12"/>
                <w:sz w:val="23"/>
                <w:szCs w:val="23"/>
                <w:lang w:val="en-US" w:eastAsia="zh-CN" w:bidi="ar-SA"/>
              </w:rPr>
              <w:t>《中医药补肾养肾》沈元良 金盾出版社；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1768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19" w:lineRule="auto"/>
              <w:ind w:left="495"/>
            </w:pPr>
            <w:r>
              <w:rPr>
                <w:spacing w:val="1"/>
              </w:rPr>
              <w:t>主要完成人</w:t>
            </w:r>
          </w:p>
        </w:tc>
        <w:tc>
          <w:tcPr>
            <w:tcW w:w="6514" w:type="dxa"/>
            <w:vAlign w:val="top"/>
          </w:tcPr>
          <w:p>
            <w:pPr>
              <w:pStyle w:val="5"/>
              <w:spacing w:before="267" w:line="400" w:lineRule="exact"/>
              <w:ind w:left="103"/>
            </w:pPr>
            <w:r>
              <w:rPr>
                <w:rFonts w:hint="eastAsia"/>
                <w:spacing w:val="6"/>
                <w:position w:val="12"/>
                <w:lang w:val="en-US" w:eastAsia="zh-CN"/>
              </w:rPr>
              <w:t>胡松峰</w:t>
            </w:r>
            <w:r>
              <w:rPr>
                <w:spacing w:val="6"/>
                <w:position w:val="12"/>
              </w:rPr>
              <w:t>，排名1,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>主任中医师</w:t>
            </w:r>
            <w:r>
              <w:rPr>
                <w:spacing w:val="6"/>
                <w:position w:val="12"/>
              </w:rPr>
              <w:t>，</w:t>
            </w:r>
            <w:r>
              <w:rPr>
                <w:rFonts w:hint="eastAsia"/>
                <w:spacing w:val="6"/>
                <w:position w:val="12"/>
                <w:lang w:val="en-US" w:eastAsia="zh-CN"/>
              </w:rPr>
              <w:t>绍兴市中医院</w:t>
            </w:r>
            <w:r>
              <w:rPr>
                <w:spacing w:val="6"/>
                <w:position w:val="12"/>
              </w:rPr>
              <w:t>；</w:t>
            </w:r>
          </w:p>
          <w:p>
            <w:pPr>
              <w:pStyle w:val="5"/>
              <w:spacing w:line="216" w:lineRule="auto"/>
              <w:ind w:left="103"/>
            </w:pPr>
            <w:r>
              <w:rPr>
                <w:rFonts w:hint="eastAsia"/>
                <w:spacing w:val="6"/>
                <w:lang w:val="en-US" w:eastAsia="zh-CN"/>
              </w:rPr>
              <w:t>夏炳江</w:t>
            </w:r>
            <w:r>
              <w:rPr>
                <w:spacing w:val="6"/>
              </w:rPr>
              <w:t>，排名2,</w:t>
            </w:r>
            <w:r>
              <w:rPr>
                <w:rFonts w:hint="eastAsia"/>
                <w:spacing w:val="6"/>
                <w:lang w:val="en-US" w:eastAsia="zh-CN"/>
              </w:rPr>
              <w:t>副主任中医师</w:t>
            </w:r>
            <w:r>
              <w:rPr>
                <w:spacing w:val="6"/>
              </w:rPr>
              <w:t>，</w:t>
            </w:r>
            <w:r>
              <w:rPr>
                <w:rFonts w:hint="eastAsia"/>
                <w:spacing w:val="6"/>
                <w:lang w:val="en-US" w:eastAsia="zh-CN"/>
              </w:rPr>
              <w:t>绍兴市中医院</w:t>
            </w:r>
            <w:r>
              <w:rPr>
                <w:spacing w:val="6"/>
              </w:rPr>
              <w:t>；</w:t>
            </w:r>
          </w:p>
          <w:p>
            <w:pPr>
              <w:pStyle w:val="5"/>
              <w:spacing w:before="171" w:line="216" w:lineRule="auto"/>
              <w:ind w:left="103"/>
              <w:rPr>
                <w:rFonts w:hint="eastAsia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沈钦荣</w:t>
            </w:r>
            <w:r>
              <w:rPr>
                <w:spacing w:val="-1"/>
              </w:rPr>
              <w:t>，排名3,</w:t>
            </w:r>
            <w:r>
              <w:rPr>
                <w:rFonts w:hint="eastAsia"/>
                <w:spacing w:val="-1"/>
                <w:lang w:val="en-US" w:eastAsia="zh-CN"/>
              </w:rPr>
              <w:t>主任中医师</w:t>
            </w:r>
            <w:r>
              <w:rPr>
                <w:spacing w:val="-1"/>
              </w:rPr>
              <w:t>，</w:t>
            </w:r>
            <w:r>
              <w:rPr>
                <w:rFonts w:hint="eastAsia"/>
                <w:spacing w:val="-1"/>
                <w:lang w:val="en-US" w:eastAsia="zh-CN"/>
              </w:rPr>
              <w:t>绍兴市中医院；</w:t>
            </w:r>
          </w:p>
          <w:p>
            <w:pPr>
              <w:pStyle w:val="5"/>
              <w:spacing w:before="171" w:line="216" w:lineRule="auto"/>
              <w:ind w:left="103"/>
              <w:rPr>
                <w:rFonts w:hint="eastAsia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金敏伟，排名4，主治医师，浙江省中医院；</w:t>
            </w:r>
          </w:p>
          <w:p>
            <w:pPr>
              <w:pStyle w:val="5"/>
              <w:spacing w:before="171" w:line="216" w:lineRule="auto"/>
              <w:ind w:left="103"/>
              <w:rPr>
                <w:rFonts w:hint="eastAsia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张春晓，排名5，中医师，绍兴市中医院；</w:t>
            </w:r>
          </w:p>
          <w:p>
            <w:pPr>
              <w:pStyle w:val="5"/>
              <w:spacing w:before="171" w:line="216" w:lineRule="auto"/>
              <w:ind w:left="103"/>
              <w:rPr>
                <w:rFonts w:hint="default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沈兴潮，排名6，主治中医师，绍兴市中医院；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176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19" w:lineRule="auto"/>
              <w:ind w:left="374"/>
            </w:pPr>
            <w:r>
              <w:rPr>
                <w:spacing w:val="-2"/>
              </w:rPr>
              <w:t>主要完成单位</w:t>
            </w:r>
          </w:p>
        </w:tc>
        <w:tc>
          <w:tcPr>
            <w:tcW w:w="6514" w:type="dxa"/>
            <w:vAlign w:val="top"/>
          </w:tcPr>
          <w:p>
            <w:pPr>
              <w:pStyle w:val="5"/>
              <w:spacing w:before="254" w:line="220" w:lineRule="auto"/>
              <w:ind w:left="103"/>
              <w:rPr>
                <w:rFonts w:hint="default" w:eastAsia="宋体"/>
                <w:lang w:val="en-US" w:eastAsia="zh-CN"/>
              </w:rPr>
            </w:pPr>
            <w:r>
              <w:rPr>
                <w:spacing w:val="1"/>
              </w:rPr>
              <w:t>1.</w:t>
            </w:r>
            <w:r>
              <w:rPr>
                <w:rFonts w:hint="eastAsia"/>
                <w:spacing w:val="1"/>
                <w:lang w:val="en-US" w:eastAsia="zh-CN"/>
              </w:rPr>
              <w:t>绍兴市中医院；</w:t>
            </w:r>
          </w:p>
          <w:p>
            <w:pPr>
              <w:pStyle w:val="5"/>
              <w:spacing w:before="165" w:line="220" w:lineRule="auto"/>
              <w:ind w:left="103"/>
              <w:rPr>
                <w:rFonts w:hint="default" w:eastAsia="宋体"/>
                <w:lang w:val="en-US" w:eastAsia="zh-CN"/>
              </w:rPr>
            </w:pPr>
            <w:r>
              <w:rPr>
                <w:spacing w:val="-1"/>
              </w:rPr>
              <w:t>2.</w:t>
            </w:r>
            <w:r>
              <w:rPr>
                <w:rFonts w:hint="eastAsia"/>
                <w:spacing w:val="-1"/>
                <w:lang w:val="en-US" w:eastAsia="zh-CN"/>
              </w:rPr>
              <w:t>浙江省中医院；</w:t>
            </w:r>
          </w:p>
          <w:p>
            <w:pPr>
              <w:pStyle w:val="5"/>
              <w:spacing w:before="135" w:line="220" w:lineRule="auto"/>
              <w:ind w:left="103"/>
              <w:rPr>
                <w:rFonts w:hint="eastAsia"/>
                <w:spacing w:val="1"/>
                <w:lang w:val="en-US" w:eastAsia="zh-CN"/>
              </w:rPr>
            </w:pPr>
            <w:r>
              <w:rPr>
                <w:spacing w:val="1"/>
              </w:rPr>
              <w:t>3.</w:t>
            </w:r>
            <w:r>
              <w:rPr>
                <w:rFonts w:hint="eastAsia"/>
                <w:spacing w:val="1"/>
                <w:lang w:val="en-US" w:eastAsia="zh-CN"/>
              </w:rPr>
              <w:t>舟山市中医院；</w:t>
            </w:r>
          </w:p>
          <w:p>
            <w:pPr>
              <w:pStyle w:val="5"/>
              <w:spacing w:before="135" w:line="220" w:lineRule="auto"/>
              <w:ind w:left="103"/>
              <w:rPr>
                <w:rFonts w:hint="default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val="en-US" w:eastAsia="zh-CN"/>
              </w:rPr>
              <w:t>4.新昌中医院；</w:t>
            </w: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19" w:line="95" w:lineRule="exact"/>
              <w:ind w:left="103"/>
              <w:rPr>
                <w:sz w:val="6"/>
                <w:szCs w:val="6"/>
              </w:rPr>
            </w:pPr>
            <w:r>
              <w:rPr>
                <w:spacing w:val="-2"/>
                <w:position w:val="1"/>
                <w:sz w:val="6"/>
                <w:szCs w:val="6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768" w:type="dxa"/>
            <w:vAlign w:val="top"/>
          </w:tcPr>
          <w:p>
            <w:pPr>
              <w:pStyle w:val="5"/>
              <w:spacing w:before="284" w:line="219" w:lineRule="auto"/>
              <w:ind w:left="604"/>
            </w:pPr>
            <w:r>
              <w:rPr>
                <w:spacing w:val="-2"/>
              </w:rPr>
              <w:t>推荐单位</w:t>
            </w:r>
          </w:p>
        </w:tc>
        <w:tc>
          <w:tcPr>
            <w:tcW w:w="6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2" w:hRule="atLeast"/>
        </w:trPr>
        <w:tc>
          <w:tcPr>
            <w:tcW w:w="1768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19" w:lineRule="auto"/>
              <w:ind w:left="604"/>
            </w:pPr>
            <w:r>
              <w:rPr>
                <w:spacing w:val="2"/>
              </w:rPr>
              <w:t>推荐意见</w:t>
            </w:r>
          </w:p>
        </w:tc>
        <w:tc>
          <w:tcPr>
            <w:tcW w:w="6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6830" w:h="11900"/>
      <w:pgMar w:top="1011" w:right="1475" w:bottom="0" w:left="149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607F4"/>
    <w:multiLevelType w:val="singleLevel"/>
    <w:tmpl w:val="B04607F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13D59FB"/>
    <w:multiLevelType w:val="singleLevel"/>
    <w:tmpl w:val="013D59F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CE62E07"/>
    <w:multiLevelType w:val="singleLevel"/>
    <w:tmpl w:val="2CE62E0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DRlMTcyMDNiZDdiZDY4NWRmNjUzNzQzZGZmOWEwYzkifQ=="/>
  </w:docVars>
  <w:rsids>
    <w:rsidRoot w:val="00000000"/>
    <w:rsid w:val="0433060F"/>
    <w:rsid w:val="051D5C9F"/>
    <w:rsid w:val="270B551B"/>
    <w:rsid w:val="3A9631B0"/>
    <w:rsid w:val="797630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28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2024-01-26T14:10:00Z</dcterms:created>
  <dc:creator>Kingsoft-PDF</dc:creator>
  <cp:lastModifiedBy>kjk</cp:lastModifiedBy>
  <dcterms:modified xsi:type="dcterms:W3CDTF">2024-01-29T00:56:05Z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2024-01-26T14:10:48Z</vt:filetime>
  </property>
  <property fmtid="{D5CDD505-2E9C-101B-9397-08002B2CF9AE}" pid="4" name="UsrData">
    <vt:lpwstr>65b34ce504313f002096e5fdwl</vt:lpwstr>
  </property>
  <property fmtid="{D5CDD505-2E9C-101B-9397-08002B2CF9AE}" pid="5" name="KSOProductBuildVer">
    <vt:lpwstr>2052-12.1.0.16120</vt:lpwstr>
  </property>
  <property fmtid="{D5CDD505-2E9C-101B-9397-08002B2CF9AE}" pid="6" name="ICV">
    <vt:lpwstr>32B973259F0E4ECBAFF37A38B432663F_12</vt:lpwstr>
  </property>
</Properties>
</file>