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b/>
          <w:bCs/>
          <w:sz w:val="48"/>
          <w:szCs w:val="48"/>
        </w:rPr>
      </w:pPr>
      <w:r>
        <w:rPr>
          <w:b/>
          <w:bCs/>
          <w:sz w:val="48"/>
          <w:szCs w:val="48"/>
        </w:rPr>
        <w:t>20</w:t>
      </w:r>
      <w:r>
        <w:rPr>
          <w:rFonts w:hint="eastAsia"/>
          <w:b/>
          <w:bCs/>
          <w:sz w:val="48"/>
          <w:szCs w:val="48"/>
        </w:rPr>
        <w:t>2</w:t>
      </w:r>
      <w:r>
        <w:rPr>
          <w:rFonts w:hint="eastAsia"/>
          <w:b/>
          <w:bCs/>
          <w:sz w:val="48"/>
          <w:szCs w:val="48"/>
          <w:lang w:val="en-US" w:eastAsia="zh-CN"/>
        </w:rPr>
        <w:t>4</w:t>
      </w:r>
      <w:r>
        <w:rPr>
          <w:rFonts w:hint="eastAsia"/>
          <w:b/>
          <w:bCs/>
          <w:sz w:val="48"/>
          <w:szCs w:val="48"/>
        </w:rPr>
        <w:t>年</w:t>
      </w:r>
      <w:r>
        <w:rPr>
          <w:rFonts w:hint="eastAsia"/>
          <w:b/>
          <w:bCs/>
          <w:sz w:val="48"/>
          <w:szCs w:val="48"/>
          <w:lang w:val="en-US" w:eastAsia="zh-CN"/>
        </w:rPr>
        <w:t>3</w:t>
      </w:r>
      <w:r>
        <w:rPr>
          <w:rFonts w:hint="eastAsia"/>
          <w:b/>
          <w:bCs/>
          <w:sz w:val="48"/>
          <w:szCs w:val="48"/>
        </w:rPr>
        <w:t>月</w:t>
      </w:r>
      <w:r>
        <w:rPr>
          <w:rFonts w:hint="eastAsia"/>
          <w:b/>
          <w:bCs/>
          <w:sz w:val="48"/>
          <w:szCs w:val="48"/>
          <w:lang w:val="en-US" w:eastAsia="zh-CN"/>
        </w:rPr>
        <w:t>外配</w:t>
      </w:r>
      <w:r>
        <w:rPr>
          <w:rFonts w:hint="eastAsia"/>
          <w:b/>
          <w:bCs/>
          <w:sz w:val="48"/>
          <w:szCs w:val="48"/>
        </w:rPr>
        <w:t>处方分析总结</w:t>
      </w:r>
    </w:p>
    <w:p>
      <w:pPr>
        <w:spacing w:line="240" w:lineRule="atLeast"/>
        <w:ind w:firstLine="480" w:firstLineChars="200"/>
        <w:rPr>
          <w:rFonts w:hint="eastAsia" w:ascii="宋体" w:hAnsi="宋体" w:cs="宋体"/>
          <w:kern w:val="0"/>
          <w:sz w:val="24"/>
        </w:rPr>
      </w:pPr>
    </w:p>
    <w:p>
      <w:pPr>
        <w:spacing w:line="240" w:lineRule="atLeast"/>
        <w:ind w:firstLine="480" w:firstLineChars="200"/>
        <w:rPr>
          <w:rFonts w:ascii="宋体" w:hAnsi="宋体" w:cs="宋体"/>
          <w:kern w:val="0"/>
          <w:sz w:val="24"/>
        </w:rPr>
      </w:pPr>
      <w:r>
        <w:rPr>
          <w:rFonts w:hint="eastAsia" w:ascii="宋体" w:hAnsi="宋体" w:cs="宋体"/>
          <w:kern w:val="0"/>
          <w:sz w:val="24"/>
        </w:rPr>
        <w:t>一、检查方法：以卫生部颁布的《处方管理办法》及《医院处方点评管理规范（试行）》为标准，检查202</w:t>
      </w:r>
      <w:r>
        <w:rPr>
          <w:rFonts w:hint="eastAsia" w:ascii="宋体" w:hAnsi="宋体" w:cs="宋体"/>
          <w:kern w:val="0"/>
          <w:sz w:val="24"/>
          <w:lang w:val="en-US" w:eastAsia="zh-CN"/>
        </w:rPr>
        <w:t>4</w:t>
      </w:r>
      <w:r>
        <w:rPr>
          <w:rFonts w:hint="eastAsia" w:ascii="宋体" w:hAnsi="宋体" w:cs="宋体"/>
          <w:kern w:val="0"/>
          <w:sz w:val="24"/>
        </w:rPr>
        <w:t>年</w:t>
      </w:r>
      <w:r>
        <w:rPr>
          <w:rFonts w:hint="eastAsia" w:ascii="宋体" w:hAnsi="宋体" w:cs="宋体"/>
          <w:kern w:val="0"/>
          <w:sz w:val="24"/>
          <w:lang w:val="en-US" w:eastAsia="zh-CN"/>
        </w:rPr>
        <w:t>3</w:t>
      </w:r>
      <w:r>
        <w:rPr>
          <w:rFonts w:hint="eastAsia" w:ascii="宋体" w:hAnsi="宋体" w:cs="宋体"/>
          <w:kern w:val="0"/>
          <w:sz w:val="24"/>
        </w:rPr>
        <w:t>月份(202</w:t>
      </w:r>
      <w:r>
        <w:rPr>
          <w:rFonts w:hint="eastAsia" w:ascii="宋体" w:hAnsi="宋体" w:cs="宋体"/>
          <w:kern w:val="0"/>
          <w:sz w:val="24"/>
          <w:lang w:val="en-US" w:eastAsia="zh-CN"/>
        </w:rPr>
        <w:t>4</w:t>
      </w:r>
      <w:r>
        <w:rPr>
          <w:rFonts w:hint="eastAsia" w:ascii="宋体" w:hAnsi="宋体" w:cs="宋体"/>
          <w:kern w:val="0"/>
          <w:sz w:val="24"/>
        </w:rPr>
        <w:t>年</w:t>
      </w:r>
      <w:r>
        <w:rPr>
          <w:rFonts w:hint="eastAsia" w:ascii="宋体" w:hAnsi="宋体" w:cs="宋体"/>
          <w:kern w:val="0"/>
          <w:sz w:val="24"/>
          <w:lang w:val="en-US" w:eastAsia="zh-CN"/>
        </w:rPr>
        <w:t>3</w:t>
      </w:r>
      <w:r>
        <w:rPr>
          <w:rFonts w:hint="eastAsia" w:ascii="宋体" w:hAnsi="宋体" w:cs="宋体"/>
          <w:kern w:val="0"/>
          <w:sz w:val="24"/>
        </w:rPr>
        <w:t>月</w:t>
      </w:r>
      <w:r>
        <w:rPr>
          <w:rFonts w:hint="eastAsia" w:ascii="宋体" w:hAnsi="宋体" w:cs="宋体"/>
          <w:kern w:val="0"/>
          <w:sz w:val="24"/>
          <w:lang w:val="en-US" w:eastAsia="zh-CN"/>
        </w:rPr>
        <w:t>01</w:t>
      </w:r>
      <w:r>
        <w:rPr>
          <w:rFonts w:hint="eastAsia" w:ascii="宋体" w:hAnsi="宋体" w:cs="宋体"/>
          <w:kern w:val="0"/>
          <w:sz w:val="24"/>
        </w:rPr>
        <w:t>日~202</w:t>
      </w:r>
      <w:r>
        <w:rPr>
          <w:rFonts w:hint="eastAsia" w:ascii="宋体" w:hAnsi="宋体" w:cs="宋体"/>
          <w:kern w:val="0"/>
          <w:sz w:val="24"/>
          <w:lang w:val="en-US" w:eastAsia="zh-CN"/>
        </w:rPr>
        <w:t>4</w:t>
      </w:r>
      <w:r>
        <w:rPr>
          <w:rFonts w:hint="eastAsia" w:ascii="宋体" w:hAnsi="宋体" w:cs="宋体"/>
          <w:kern w:val="0"/>
          <w:sz w:val="24"/>
        </w:rPr>
        <w:t>年</w:t>
      </w:r>
      <w:r>
        <w:rPr>
          <w:rFonts w:hint="eastAsia" w:ascii="宋体" w:hAnsi="宋体" w:cs="宋体"/>
          <w:kern w:val="0"/>
          <w:sz w:val="24"/>
          <w:lang w:val="en-US" w:eastAsia="zh-CN"/>
        </w:rPr>
        <w:t>3</w:t>
      </w:r>
      <w:r>
        <w:rPr>
          <w:rFonts w:hint="eastAsia" w:ascii="宋体" w:hAnsi="宋体" w:cs="宋体"/>
          <w:kern w:val="0"/>
          <w:sz w:val="24"/>
        </w:rPr>
        <w:t>月</w:t>
      </w:r>
      <w:r>
        <w:rPr>
          <w:rFonts w:hint="eastAsia" w:ascii="宋体" w:hAnsi="宋体" w:cs="宋体"/>
          <w:kern w:val="0"/>
          <w:sz w:val="24"/>
          <w:lang w:val="en-US" w:eastAsia="zh-CN"/>
        </w:rPr>
        <w:t>31</w:t>
      </w:r>
      <w:r>
        <w:rPr>
          <w:rFonts w:hint="eastAsia" w:ascii="宋体" w:hAnsi="宋体" w:cs="宋体"/>
          <w:kern w:val="0"/>
          <w:sz w:val="24"/>
        </w:rPr>
        <w:t>日)的</w:t>
      </w:r>
      <w:r>
        <w:rPr>
          <w:rFonts w:hint="eastAsia" w:ascii="宋体" w:hAnsi="宋体" w:cs="宋体"/>
          <w:kern w:val="0"/>
          <w:sz w:val="24"/>
          <w:lang w:val="en-US" w:eastAsia="zh-CN"/>
        </w:rPr>
        <w:t>外配</w:t>
      </w:r>
      <w:r>
        <w:rPr>
          <w:rFonts w:hint="eastAsia" w:ascii="宋体" w:hAnsi="宋体" w:cs="宋体"/>
          <w:kern w:val="0"/>
          <w:sz w:val="24"/>
        </w:rPr>
        <w:t>处方。</w:t>
      </w:r>
    </w:p>
    <w:p>
      <w:pPr>
        <w:spacing w:line="240" w:lineRule="atLeast"/>
        <w:ind w:firstLine="480" w:firstLineChars="200"/>
        <w:rPr>
          <w:rFonts w:hint="eastAsia" w:ascii="宋体" w:hAnsi="宋体" w:cs="宋体"/>
          <w:kern w:val="0"/>
          <w:sz w:val="24"/>
        </w:rPr>
      </w:pPr>
    </w:p>
    <w:p>
      <w:pPr>
        <w:numPr>
          <w:ilvl w:val="0"/>
          <w:numId w:val="1"/>
        </w:numPr>
        <w:spacing w:line="240" w:lineRule="atLeast"/>
        <w:ind w:firstLine="480" w:firstLineChars="200"/>
        <w:rPr>
          <w:rFonts w:hint="eastAsia" w:ascii="宋体" w:hAnsi="宋体" w:cs="宋体"/>
          <w:kern w:val="0"/>
          <w:sz w:val="24"/>
        </w:rPr>
      </w:pPr>
      <w:r>
        <w:rPr>
          <w:rFonts w:hint="eastAsia" w:ascii="宋体" w:hAnsi="宋体" w:cs="宋体"/>
          <w:kern w:val="0"/>
          <w:sz w:val="24"/>
        </w:rPr>
        <w:t>检查内容：按不合理处方判断标准的有关内容进行处方规范书写、临床诊断与用药是否相符、药物间配伍禁忌、药品的名称、规格、剂量和剂型是否合适等检查。</w:t>
      </w:r>
    </w:p>
    <w:p>
      <w:pPr>
        <w:spacing w:line="240" w:lineRule="atLeast"/>
        <w:ind w:firstLine="480" w:firstLineChars="200"/>
        <w:rPr>
          <w:rFonts w:hint="eastAsia" w:ascii="宋体" w:hAnsi="宋体" w:cs="宋体"/>
          <w:kern w:val="0"/>
          <w:sz w:val="24"/>
        </w:rPr>
      </w:pPr>
      <w:r>
        <w:rPr>
          <w:rFonts w:hint="eastAsia" w:ascii="宋体" w:hAnsi="宋体" w:cs="宋体"/>
          <w:kern w:val="0"/>
          <w:sz w:val="24"/>
        </w:rPr>
        <w:t>三、处方检查判定依据：</w:t>
      </w:r>
    </w:p>
    <w:p>
      <w:pPr>
        <w:spacing w:line="240" w:lineRule="atLeast"/>
        <w:ind w:firstLine="480" w:firstLineChars="200"/>
        <w:rPr>
          <w:rFonts w:hint="eastAsia" w:ascii="宋体" w:hAnsi="宋体" w:cs="宋体"/>
          <w:kern w:val="0"/>
          <w:sz w:val="24"/>
        </w:rPr>
      </w:pPr>
      <w:r>
        <w:rPr>
          <w:rFonts w:hint="eastAsia" w:ascii="宋体" w:hAnsi="宋体" w:cs="宋体"/>
          <w:kern w:val="0"/>
          <w:sz w:val="24"/>
        </w:rPr>
        <w:t xml:space="preserve"> 据卫生部《医院处方点评管理规范（试行）》的具体细则</w:t>
      </w:r>
    </w:p>
    <w:p>
      <w:pPr>
        <w:spacing w:line="240" w:lineRule="atLeast"/>
        <w:ind w:firstLine="240" w:firstLineChars="100"/>
        <w:rPr>
          <w:rFonts w:hint="eastAsia" w:ascii="宋体" w:hAnsi="宋体" w:cs="宋体"/>
          <w:kern w:val="0"/>
          <w:sz w:val="24"/>
        </w:rPr>
      </w:pPr>
      <w:r>
        <w:rPr>
          <w:rFonts w:hint="eastAsia" w:ascii="宋体" w:hAnsi="宋体" w:cs="宋体"/>
          <w:kern w:val="0"/>
          <w:sz w:val="24"/>
        </w:rPr>
        <w:t>（一） 有下列情况之一的，应当判定为不规范处方：</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1、处方的前记、正文、后记内容缺项，书写不规范或者字迹难以辨认的；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2、医师签名、签章不规范或者与签名、签章的留样不一致的；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3、药师未对处方进行适宜性审核的（处方后记的审核、调配、核对、发药栏目无审核调配药师及核对发药药师签名，或者单人值班调剂未执行双签名规定）；</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4、新生儿、婴幼儿处方未写明日、月龄的；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5、西药、中成药与中药饮片未分别开具处方的；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6、未使用药品规范名称开具处方的；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7、药品的剂量、规格、数量、单位等书写不规范或不清楚的；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8、用法、用量使用“遵医嘱”、“自用”等含糊不清字句的；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9、处方修改未签名并注明修改日期，或药品超剂量使用未注明原因和再次签名的；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10、开具处方未写临床诊断或临床诊断书写不全的；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11、单张门急诊处方超过五种药品的；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12、无特殊情况下，门诊处方超过7日用量，急诊处方超过3日用量，慢性病、老年病或特殊情况下需要适当延长处方用量未注明理由的；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13、开具麻醉药品、精神药品、医疗用毒性药品、放射性药品等特殊管理药品处方未执行国家有关规定的；</w:t>
      </w:r>
    </w:p>
    <w:p>
      <w:pPr>
        <w:spacing w:line="240" w:lineRule="atLeast"/>
        <w:ind w:firstLine="240" w:firstLineChars="100"/>
        <w:rPr>
          <w:rFonts w:hint="eastAsia" w:ascii="宋体" w:hAnsi="宋体" w:cs="宋体"/>
          <w:kern w:val="0"/>
          <w:sz w:val="24"/>
        </w:rPr>
      </w:pPr>
      <w:r>
        <w:rPr>
          <w:rFonts w:hint="eastAsia" w:ascii="宋体" w:hAnsi="宋体" w:cs="宋体"/>
          <w:kern w:val="0"/>
          <w:sz w:val="24"/>
        </w:rPr>
        <w:t>（二） 有下列情况之一的，应当判定为用药不适宜处方：</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1、适应证不适宜的；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2、遴选的药品不适宜的；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3、药品剂型或给药途径不适宜的；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4、无正当理由不首选国家基本药物的；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5、用法、用量不适宜的；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6、联合用药不适宜的；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7、重复给药的；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8、有配伍禁忌或者不良相互作用的；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9、其它用药不适宜情况的。</w:t>
      </w:r>
    </w:p>
    <w:p>
      <w:pPr>
        <w:spacing w:line="240" w:lineRule="atLeast"/>
        <w:ind w:firstLine="360" w:firstLineChars="150"/>
        <w:rPr>
          <w:rFonts w:hint="eastAsia" w:ascii="宋体" w:hAnsi="宋体" w:cs="宋体"/>
          <w:kern w:val="0"/>
          <w:sz w:val="24"/>
        </w:rPr>
      </w:pPr>
      <w:r>
        <w:rPr>
          <w:rFonts w:hint="eastAsia" w:ascii="宋体" w:hAnsi="宋体" w:cs="宋体"/>
          <w:kern w:val="0"/>
          <w:sz w:val="24"/>
        </w:rPr>
        <w:t>（三） 有下列情况之一的，应当判定为超常处方：</w:t>
      </w:r>
    </w:p>
    <w:p>
      <w:pPr>
        <w:spacing w:line="240" w:lineRule="atLeast"/>
        <w:ind w:firstLine="480" w:firstLineChars="200"/>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lang w:eastAsia="zh-CN"/>
        </w:rPr>
        <w:t>、</w:t>
      </w:r>
      <w:r>
        <w:rPr>
          <w:rFonts w:hint="eastAsia" w:ascii="宋体" w:hAnsi="宋体" w:cs="宋体"/>
          <w:kern w:val="0"/>
          <w:sz w:val="24"/>
        </w:rPr>
        <w:t>无适应证用药；</w:t>
      </w:r>
    </w:p>
    <w:p>
      <w:pPr>
        <w:spacing w:line="240" w:lineRule="atLeast"/>
        <w:ind w:firstLine="480" w:firstLineChars="200"/>
        <w:rPr>
          <w:rFonts w:hint="eastAsia" w:ascii="宋体" w:hAnsi="宋体" w:cs="宋体"/>
          <w:kern w:val="0"/>
          <w:sz w:val="24"/>
        </w:rPr>
      </w:pPr>
      <w:r>
        <w:rPr>
          <w:rFonts w:hint="eastAsia" w:ascii="宋体" w:hAnsi="宋体" w:cs="宋体"/>
          <w:kern w:val="0"/>
          <w:sz w:val="24"/>
        </w:rPr>
        <w:t>2</w:t>
      </w:r>
      <w:r>
        <w:rPr>
          <w:rFonts w:hint="eastAsia" w:ascii="宋体" w:hAnsi="宋体" w:cs="宋体"/>
          <w:kern w:val="0"/>
          <w:sz w:val="24"/>
          <w:lang w:eastAsia="zh-CN"/>
        </w:rPr>
        <w:t>、</w:t>
      </w:r>
      <w:r>
        <w:rPr>
          <w:rFonts w:hint="eastAsia" w:ascii="宋体" w:hAnsi="宋体" w:cs="宋体"/>
          <w:kern w:val="0"/>
          <w:sz w:val="24"/>
        </w:rPr>
        <w:t>无正当理由开具高价药的；</w:t>
      </w:r>
    </w:p>
    <w:p>
      <w:pPr>
        <w:spacing w:line="240" w:lineRule="atLeast"/>
        <w:ind w:left="-540" w:leftChars="-257" w:firstLine="1020" w:firstLineChars="425"/>
        <w:rPr>
          <w:rFonts w:hint="eastAsia" w:ascii="宋体" w:hAnsi="宋体" w:cs="宋体"/>
          <w:kern w:val="0"/>
          <w:sz w:val="24"/>
        </w:rPr>
      </w:pPr>
      <w:r>
        <w:rPr>
          <w:rFonts w:hint="eastAsia" w:ascii="宋体" w:hAnsi="宋体" w:cs="宋体"/>
          <w:kern w:val="0"/>
          <w:sz w:val="24"/>
        </w:rPr>
        <w:t>3</w:t>
      </w:r>
      <w:r>
        <w:rPr>
          <w:rFonts w:hint="eastAsia" w:ascii="宋体" w:hAnsi="宋体" w:cs="宋体"/>
          <w:kern w:val="0"/>
          <w:sz w:val="24"/>
          <w:lang w:eastAsia="zh-CN"/>
        </w:rPr>
        <w:t>、</w:t>
      </w:r>
      <w:r>
        <w:rPr>
          <w:rFonts w:hint="eastAsia" w:ascii="宋体" w:hAnsi="宋体" w:cs="宋体"/>
          <w:kern w:val="0"/>
          <w:sz w:val="24"/>
        </w:rPr>
        <w:t>无正当理由超说明书用药的；</w:t>
      </w:r>
    </w:p>
    <w:p>
      <w:pPr>
        <w:spacing w:line="240" w:lineRule="atLeast"/>
        <w:ind w:firstLine="480" w:firstLineChars="200"/>
        <w:rPr>
          <w:rFonts w:hint="eastAsia" w:ascii="宋体" w:hAnsi="宋体" w:cs="宋体"/>
          <w:kern w:val="0"/>
          <w:sz w:val="24"/>
        </w:rPr>
      </w:pPr>
      <w:r>
        <w:rPr>
          <w:rFonts w:hint="eastAsia" w:ascii="宋体" w:hAnsi="宋体" w:cs="宋体"/>
          <w:kern w:val="0"/>
          <w:sz w:val="24"/>
        </w:rPr>
        <w:t>4</w:t>
      </w:r>
      <w:r>
        <w:rPr>
          <w:rFonts w:hint="eastAsia" w:ascii="宋体" w:hAnsi="宋体" w:cs="宋体"/>
          <w:kern w:val="0"/>
          <w:sz w:val="24"/>
          <w:lang w:eastAsia="zh-CN"/>
        </w:rPr>
        <w:t>、</w:t>
      </w:r>
      <w:r>
        <w:rPr>
          <w:rFonts w:hint="eastAsia" w:ascii="宋体" w:hAnsi="宋体" w:cs="宋体"/>
          <w:kern w:val="0"/>
          <w:sz w:val="24"/>
        </w:rPr>
        <w:t>无正当理由为同一患者同时开具2种以上药理作用相同药物的。</w:t>
      </w:r>
    </w:p>
    <w:p>
      <w:pPr>
        <w:rPr>
          <w:rFonts w:hint="eastAsia" w:ascii="宋体" w:hAnsi="宋体" w:cs="宋体"/>
          <w:b/>
          <w:bCs/>
          <w:kern w:val="0"/>
          <w:sz w:val="24"/>
        </w:rPr>
      </w:pPr>
    </w:p>
    <w:p>
      <w:pPr>
        <w:rPr>
          <w:rFonts w:hint="eastAsia" w:ascii="宋体" w:hAnsi="宋体" w:cs="宋体"/>
          <w:b/>
          <w:bCs/>
          <w:kern w:val="0"/>
          <w:sz w:val="24"/>
        </w:rPr>
      </w:pPr>
    </w:p>
    <w:p>
      <w:pPr>
        <w:rPr>
          <w:rFonts w:hint="eastAsia" w:ascii="宋体" w:hAnsi="宋体" w:cs="宋体"/>
          <w:color w:val="0000FF"/>
          <w:kern w:val="0"/>
          <w:sz w:val="24"/>
          <w:highlight w:val="none"/>
        </w:rPr>
      </w:pPr>
      <w:r>
        <w:rPr>
          <w:rFonts w:hint="eastAsia" w:ascii="宋体" w:hAnsi="宋体" w:cs="宋体"/>
          <w:b/>
          <w:bCs/>
          <w:kern w:val="0"/>
          <w:sz w:val="24"/>
        </w:rPr>
        <w:t>四、检查结果：</w:t>
      </w:r>
      <w:r>
        <w:rPr>
          <w:rFonts w:hint="eastAsia" w:ascii="宋体" w:hAnsi="宋体" w:cs="宋体"/>
          <w:kern w:val="0"/>
          <w:sz w:val="24"/>
        </w:rPr>
        <w:t>共审阅</w:t>
      </w:r>
      <w:r>
        <w:rPr>
          <w:rFonts w:hint="eastAsia" w:ascii="宋体" w:hAnsi="宋体" w:cs="宋体"/>
          <w:kern w:val="0"/>
          <w:sz w:val="24"/>
          <w:lang w:val="en-US" w:eastAsia="zh-CN"/>
        </w:rPr>
        <w:t>3</w:t>
      </w:r>
      <w:r>
        <w:rPr>
          <w:rFonts w:hint="eastAsia" w:ascii="宋体" w:hAnsi="宋体" w:cs="宋体"/>
          <w:kern w:val="0"/>
          <w:sz w:val="24"/>
        </w:rPr>
        <w:t>月</w:t>
      </w:r>
      <w:r>
        <w:rPr>
          <w:rFonts w:hint="eastAsia" w:ascii="宋体" w:hAnsi="宋体" w:cs="宋体"/>
          <w:kern w:val="0"/>
          <w:sz w:val="24"/>
          <w:lang w:val="en-US" w:eastAsia="zh-CN"/>
        </w:rPr>
        <w:t>外配</w:t>
      </w:r>
      <w:r>
        <w:rPr>
          <w:rFonts w:hint="eastAsia" w:ascii="宋体" w:hAnsi="宋体" w:cs="宋体"/>
          <w:kern w:val="0"/>
          <w:sz w:val="24"/>
        </w:rPr>
        <w:t>处方</w:t>
      </w:r>
      <w:r>
        <w:rPr>
          <w:rFonts w:hint="eastAsia" w:ascii="宋体" w:hAnsi="宋体" w:cs="宋体"/>
          <w:kern w:val="0"/>
          <w:sz w:val="24"/>
          <w:lang w:val="en-US" w:eastAsia="zh-CN"/>
        </w:rPr>
        <w:t>294</w:t>
      </w:r>
      <w:r>
        <w:rPr>
          <w:rFonts w:hint="eastAsia" w:ascii="宋体" w:hAnsi="宋体" w:cs="宋体"/>
          <w:color w:val="auto"/>
          <w:kern w:val="0"/>
          <w:sz w:val="24"/>
        </w:rPr>
        <w:t>张，</w:t>
      </w:r>
      <w:r>
        <w:rPr>
          <w:rFonts w:hint="eastAsia" w:ascii="宋体" w:hAnsi="宋体" w:cs="宋体"/>
          <w:color w:val="auto"/>
          <w:kern w:val="0"/>
          <w:sz w:val="24"/>
          <w:highlight w:val="none"/>
        </w:rPr>
        <w:t>人工点评之后对以下</w:t>
      </w:r>
      <w:r>
        <w:rPr>
          <w:rFonts w:hint="eastAsia" w:ascii="宋体" w:hAnsi="宋体" w:cs="宋体"/>
          <w:color w:val="auto"/>
          <w:kern w:val="0"/>
          <w:sz w:val="24"/>
          <w:highlight w:val="none"/>
          <w:lang w:val="en-US" w:eastAsia="zh-CN"/>
        </w:rPr>
        <w:t>30</w:t>
      </w:r>
      <w:r>
        <w:rPr>
          <w:rFonts w:hint="eastAsia" w:ascii="宋体" w:hAnsi="宋体" w:cs="宋体"/>
          <w:color w:val="auto"/>
          <w:kern w:val="0"/>
          <w:sz w:val="24"/>
          <w:highlight w:val="none"/>
        </w:rPr>
        <w:t>张处方的不合理情况进行点评考核，处方合格率</w:t>
      </w:r>
      <w:r>
        <w:rPr>
          <w:rFonts w:hint="eastAsia" w:ascii="宋体" w:hAnsi="宋体" w:cs="宋体"/>
          <w:color w:val="auto"/>
          <w:kern w:val="0"/>
          <w:sz w:val="24"/>
          <w:highlight w:val="none"/>
          <w:lang w:val="en-US" w:eastAsia="zh-CN"/>
        </w:rPr>
        <w:t>89.80</w:t>
      </w:r>
      <w:r>
        <w:rPr>
          <w:rFonts w:hint="eastAsia" w:ascii="宋体" w:hAnsi="宋体" w:cs="宋体"/>
          <w:color w:val="auto"/>
          <w:kern w:val="0"/>
          <w:sz w:val="24"/>
          <w:highlight w:val="none"/>
        </w:rPr>
        <w:t>%。</w:t>
      </w:r>
    </w:p>
    <w:p>
      <w:pPr>
        <w:spacing w:line="240" w:lineRule="atLeast"/>
        <w:rPr>
          <w:rFonts w:hint="eastAsia" w:ascii="宋体" w:hAnsi="宋体" w:cs="宋体"/>
          <w:b/>
          <w:bCs/>
          <w:kern w:val="0"/>
          <w:sz w:val="24"/>
          <w:lang w:val="en-US" w:eastAsia="zh-CN"/>
        </w:rPr>
      </w:pPr>
    </w:p>
    <w:p>
      <w:pPr>
        <w:numPr>
          <w:ilvl w:val="0"/>
          <w:numId w:val="2"/>
        </w:numPr>
        <w:spacing w:line="240" w:lineRule="atLeast"/>
        <w:rPr>
          <w:rFonts w:hint="eastAsia" w:ascii="宋体" w:hAnsi="宋体" w:cs="宋体"/>
          <w:kern w:val="0"/>
          <w:sz w:val="24"/>
        </w:rPr>
      </w:pPr>
      <w:r>
        <w:rPr>
          <w:rFonts w:hint="eastAsia" w:ascii="宋体" w:hAnsi="宋体" w:cs="宋体"/>
          <w:b/>
          <w:bCs/>
          <w:kern w:val="0"/>
          <w:sz w:val="24"/>
        </w:rPr>
        <w:t>分析：本次点评处方存在问题主要如下：</w:t>
      </w:r>
    </w:p>
    <w:p>
      <w:pPr>
        <w:widowControl/>
        <w:numPr>
          <w:ilvl w:val="0"/>
          <w:numId w:val="3"/>
        </w:numPr>
        <w:ind w:leftChars="0"/>
        <w:jc w:val="left"/>
        <w:textAlignment w:val="bottom"/>
        <w:rPr>
          <w:rFonts w:hint="eastAsia" w:ascii="宋体" w:hAnsi="宋体" w:cs="宋体"/>
          <w:kern w:val="0"/>
          <w:sz w:val="24"/>
        </w:rPr>
      </w:pPr>
      <w:r>
        <w:rPr>
          <w:rFonts w:hint="eastAsia" w:ascii="宋体" w:hAnsi="宋体" w:cs="宋体"/>
          <w:color w:val="auto"/>
          <w:kern w:val="0"/>
          <w:sz w:val="24"/>
          <w:lang w:val="en-US" w:eastAsia="zh-CN" w:bidi="ar"/>
        </w:rPr>
        <w:t>诊断：应有用药相关的诊断。</w:t>
      </w:r>
    </w:p>
    <w:p>
      <w:pPr>
        <w:widowControl/>
        <w:numPr>
          <w:ilvl w:val="0"/>
          <w:numId w:val="3"/>
        </w:numPr>
        <w:ind w:leftChars="0"/>
        <w:jc w:val="left"/>
        <w:textAlignment w:val="bottom"/>
        <w:rPr>
          <w:rFonts w:hint="eastAsia" w:ascii="宋体" w:hAnsi="宋体" w:cs="宋体"/>
          <w:kern w:val="0"/>
          <w:sz w:val="24"/>
        </w:rPr>
      </w:pPr>
      <w:r>
        <w:rPr>
          <w:rFonts w:hint="eastAsia" w:ascii="宋体" w:hAnsi="宋体" w:cs="宋体"/>
          <w:kern w:val="0"/>
          <w:sz w:val="24"/>
        </w:rPr>
        <w:t>用量：处方不得超过</w:t>
      </w:r>
      <w:r>
        <w:rPr>
          <w:rFonts w:hint="eastAsia" w:ascii="宋体" w:hAnsi="宋体" w:cs="宋体"/>
          <w:kern w:val="0"/>
          <w:sz w:val="24"/>
          <w:lang w:val="en-US" w:eastAsia="zh-CN"/>
        </w:rPr>
        <w:t>30</w:t>
      </w:r>
      <w:r>
        <w:rPr>
          <w:rFonts w:hint="eastAsia" w:ascii="宋体" w:hAnsi="宋体" w:cs="宋体"/>
          <w:kern w:val="0"/>
          <w:sz w:val="24"/>
        </w:rPr>
        <w:t>日用量</w:t>
      </w:r>
      <w:r>
        <w:rPr>
          <w:rFonts w:hint="eastAsia" w:ascii="宋体" w:hAnsi="宋体" w:cs="宋体"/>
          <w:kern w:val="0"/>
          <w:sz w:val="24"/>
          <w:lang w:eastAsia="zh-CN"/>
        </w:rPr>
        <w:t>。</w:t>
      </w:r>
    </w:p>
    <w:p>
      <w:pPr>
        <w:spacing w:line="240" w:lineRule="atLeast"/>
        <w:rPr>
          <w:rFonts w:hint="eastAsia" w:ascii="宋体" w:hAnsi="宋体" w:cs="宋体"/>
          <w:kern w:val="0"/>
          <w:sz w:val="24"/>
        </w:rPr>
      </w:pPr>
    </w:p>
    <w:p>
      <w:pPr>
        <w:spacing w:line="240" w:lineRule="atLeast"/>
        <w:rPr>
          <w:rFonts w:hint="default"/>
          <w:lang w:val="en-US" w:eastAsia="zh-CN"/>
        </w:rPr>
      </w:pPr>
      <w:r>
        <w:rPr>
          <w:rFonts w:hint="eastAsia" w:ascii="宋体" w:hAnsi="宋体" w:cs="宋体"/>
          <w:kern w:val="0"/>
          <w:sz w:val="24"/>
          <w:lang w:val="en-US" w:eastAsia="zh-CN"/>
        </w:rPr>
        <w:t>六</w:t>
      </w:r>
      <w:r>
        <w:rPr>
          <w:rFonts w:hint="eastAsia" w:ascii="宋体" w:hAnsi="宋体" w:cs="宋体"/>
          <w:kern w:val="0"/>
          <w:sz w:val="24"/>
        </w:rPr>
        <w:t>、不合格处方举例：</w:t>
      </w:r>
    </w:p>
    <w:tbl>
      <w:tblPr>
        <w:tblStyle w:val="3"/>
        <w:tblW w:w="8964" w:type="dxa"/>
        <w:tblInd w:w="-2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8"/>
        <w:gridCol w:w="756"/>
        <w:gridCol w:w="672"/>
        <w:gridCol w:w="792"/>
        <w:gridCol w:w="888"/>
        <w:gridCol w:w="4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08" w:type="dxa"/>
            <w:vAlign w:val="center"/>
          </w:tcPr>
          <w:p>
            <w:pPr>
              <w:keepNext w:val="0"/>
              <w:keepLines w:val="0"/>
              <w:widowControl/>
              <w:suppressLineNumbers w:val="0"/>
              <w:jc w:val="center"/>
              <w:textAlignment w:val="center"/>
              <w:rPr>
                <w:rFonts w:hint="eastAsia"/>
                <w:vertAlign w:val="baseline"/>
                <w:lang w:val="en-US" w:eastAsia="zh-CN"/>
              </w:rPr>
            </w:pPr>
            <w:r>
              <w:rPr>
                <w:rFonts w:hint="default" w:ascii="Calibri" w:hAnsi="Calibri" w:eastAsia="宋体" w:cs="Calibri"/>
                <w:b/>
                <w:bCs/>
                <w:i w:val="0"/>
                <w:iCs w:val="0"/>
                <w:color w:val="000000"/>
                <w:kern w:val="0"/>
                <w:sz w:val="22"/>
                <w:szCs w:val="22"/>
                <w:u w:val="none"/>
                <w:lang w:val="en-US" w:eastAsia="zh-CN" w:bidi="ar"/>
              </w:rPr>
              <w:t>处方日期</w:t>
            </w:r>
          </w:p>
        </w:tc>
        <w:tc>
          <w:tcPr>
            <w:tcW w:w="756" w:type="dxa"/>
            <w:vAlign w:val="center"/>
          </w:tcPr>
          <w:p>
            <w:pPr>
              <w:keepNext w:val="0"/>
              <w:keepLines w:val="0"/>
              <w:widowControl/>
              <w:suppressLineNumbers w:val="0"/>
              <w:jc w:val="center"/>
              <w:textAlignment w:val="center"/>
              <w:rPr>
                <w:rFonts w:hint="eastAsia"/>
                <w:vertAlign w:val="baseline"/>
                <w:lang w:val="en-US" w:eastAsia="zh-CN"/>
              </w:rPr>
            </w:pPr>
            <w:r>
              <w:rPr>
                <w:rFonts w:hint="default" w:ascii="Calibri" w:hAnsi="Calibri" w:eastAsia="宋体" w:cs="Calibri"/>
                <w:b/>
                <w:bCs/>
                <w:i w:val="0"/>
                <w:iCs w:val="0"/>
                <w:color w:val="000000"/>
                <w:kern w:val="0"/>
                <w:sz w:val="22"/>
                <w:szCs w:val="22"/>
                <w:u w:val="none"/>
                <w:lang w:val="en-US" w:eastAsia="zh-CN" w:bidi="ar"/>
              </w:rPr>
              <w:t>处方号</w:t>
            </w:r>
          </w:p>
        </w:tc>
        <w:tc>
          <w:tcPr>
            <w:tcW w:w="672" w:type="dxa"/>
            <w:vAlign w:val="center"/>
          </w:tcPr>
          <w:p>
            <w:pPr>
              <w:keepNext w:val="0"/>
              <w:keepLines w:val="0"/>
              <w:widowControl/>
              <w:suppressLineNumbers w:val="0"/>
              <w:jc w:val="center"/>
              <w:textAlignment w:val="center"/>
              <w:rPr>
                <w:rFonts w:hint="eastAsia"/>
                <w:vertAlign w:val="baseline"/>
                <w:lang w:val="en-US" w:eastAsia="zh-CN"/>
              </w:rPr>
            </w:pPr>
            <w:r>
              <w:rPr>
                <w:rFonts w:hint="default" w:ascii="Calibri" w:hAnsi="Calibri" w:eastAsia="宋体" w:cs="Calibri"/>
                <w:b/>
                <w:bCs/>
                <w:i w:val="0"/>
                <w:iCs w:val="0"/>
                <w:color w:val="000000"/>
                <w:kern w:val="0"/>
                <w:sz w:val="22"/>
                <w:szCs w:val="22"/>
                <w:u w:val="none"/>
                <w:lang w:val="en-US" w:eastAsia="zh-CN" w:bidi="ar"/>
              </w:rPr>
              <w:t>患者号</w:t>
            </w:r>
          </w:p>
        </w:tc>
        <w:tc>
          <w:tcPr>
            <w:tcW w:w="792" w:type="dxa"/>
            <w:vAlign w:val="center"/>
          </w:tcPr>
          <w:p>
            <w:pPr>
              <w:keepNext w:val="0"/>
              <w:keepLines w:val="0"/>
              <w:widowControl/>
              <w:suppressLineNumbers w:val="0"/>
              <w:jc w:val="center"/>
              <w:textAlignment w:val="center"/>
              <w:rPr>
                <w:rFonts w:hint="eastAsia"/>
                <w:b/>
                <w:bCs/>
                <w:vertAlign w:val="baseline"/>
                <w:lang w:val="en-US" w:eastAsia="zh-CN"/>
              </w:rPr>
            </w:pPr>
            <w:r>
              <w:rPr>
                <w:rFonts w:hint="default" w:ascii="Calibri" w:hAnsi="Calibri" w:eastAsia="宋体" w:cs="Calibri"/>
                <w:b/>
                <w:bCs/>
                <w:i w:val="0"/>
                <w:iCs w:val="0"/>
                <w:color w:val="000000"/>
                <w:kern w:val="0"/>
                <w:sz w:val="22"/>
                <w:szCs w:val="22"/>
                <w:u w:val="none"/>
                <w:lang w:val="en-US" w:eastAsia="zh-CN" w:bidi="ar"/>
              </w:rPr>
              <w:t>科室</w:t>
            </w:r>
          </w:p>
        </w:tc>
        <w:tc>
          <w:tcPr>
            <w:tcW w:w="888" w:type="dxa"/>
            <w:vAlign w:val="center"/>
          </w:tcPr>
          <w:p>
            <w:pPr>
              <w:keepNext w:val="0"/>
              <w:keepLines w:val="0"/>
              <w:widowControl/>
              <w:suppressLineNumbers w:val="0"/>
              <w:jc w:val="center"/>
              <w:textAlignment w:val="center"/>
              <w:rPr>
                <w:rFonts w:hint="eastAsia"/>
                <w:b/>
                <w:bCs/>
                <w:vertAlign w:val="baseline"/>
                <w:lang w:val="en-US" w:eastAsia="zh-CN"/>
              </w:rPr>
            </w:pPr>
            <w:r>
              <w:rPr>
                <w:rFonts w:hint="default" w:ascii="Calibri" w:hAnsi="Calibri" w:eastAsia="宋体" w:cs="Calibri"/>
                <w:b/>
                <w:bCs/>
                <w:i w:val="0"/>
                <w:iCs w:val="0"/>
                <w:color w:val="000000"/>
                <w:kern w:val="0"/>
                <w:sz w:val="22"/>
                <w:szCs w:val="22"/>
                <w:u w:val="none"/>
                <w:lang w:val="en-US" w:eastAsia="zh-CN" w:bidi="ar"/>
              </w:rPr>
              <w:t>医生</w:t>
            </w:r>
          </w:p>
        </w:tc>
        <w:tc>
          <w:tcPr>
            <w:tcW w:w="4548" w:type="dxa"/>
            <w:vAlign w:val="center"/>
          </w:tcPr>
          <w:p>
            <w:pPr>
              <w:keepNext w:val="0"/>
              <w:keepLines w:val="0"/>
              <w:widowControl/>
              <w:suppressLineNumbers w:val="0"/>
              <w:jc w:val="center"/>
              <w:textAlignment w:val="center"/>
              <w:rPr>
                <w:rFonts w:hint="eastAsia"/>
                <w:b/>
                <w:bCs/>
                <w:vertAlign w:val="baseline"/>
                <w:lang w:val="en-US" w:eastAsia="zh-CN"/>
              </w:rPr>
            </w:pPr>
            <w:r>
              <w:rPr>
                <w:rFonts w:hint="eastAsia" w:ascii="宋体" w:hAnsi="宋体" w:eastAsia="宋体" w:cs="宋体"/>
                <w:b/>
                <w:bCs/>
                <w:i w:val="0"/>
                <w:iCs w:val="0"/>
                <w:color w:val="000000"/>
                <w:kern w:val="0"/>
                <w:sz w:val="22"/>
                <w:szCs w:val="22"/>
                <w:u w:val="none"/>
                <w:lang w:val="en-US" w:eastAsia="zh-CN" w:bidi="ar"/>
              </w:rPr>
              <w:t>点评结果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2024-03-20 10:44:54</w:t>
            </w:r>
          </w:p>
        </w:tc>
        <w:tc>
          <w:tcPr>
            <w:tcW w:w="756"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10351605</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50155076</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内分泌科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安艳军</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适应症: 盐酸二甲双胍片, 本品首选用于单纯饮食控制及体育锻炼控制血糖无效的2型糖尿病，特别是超重的患者，不建议超适应症使用。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2024-03-03 14:42:33</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10311380</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50021983</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心血管内科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边佳萍</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药品用量超过规定用药天数: 酒石酸美托洛尔片，门诊处方超过30日用量。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2024-03-12 08:30:52</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10331249</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50205862</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皮肤科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蔡路炜</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药品用量超过规定用药天数: 度普利尤单抗注射液，门诊处方超过30日用量。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2024-03-25 14:39:58</w:t>
            </w:r>
          </w:p>
        </w:tc>
        <w:tc>
          <w:tcPr>
            <w:tcW w:w="756"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10364899</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50042669</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肿瘤内科专科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董珍</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药品用量超过规定用药天数: 注射用胸腺法新, 门诊处方超过30日用量。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2024-03-30 08:13:34</w:t>
            </w:r>
          </w:p>
        </w:tc>
        <w:tc>
          <w:tcPr>
            <w:tcW w:w="756"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10376023</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50270828</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肿瘤内科(专家)</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董珍</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信迪利单抗注射液, 给药途径不合适, 本品宜静脉滴注、输液泵滴注给药。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2024-03-19 09:42:03</w:t>
            </w:r>
          </w:p>
        </w:tc>
        <w:tc>
          <w:tcPr>
            <w:tcW w:w="756"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10348631</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50070036</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儿科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贺江飞</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儿童青少年: 阿奇霉素片, 阿奇霉素片剂仅适用于体重大于45kg的儿童， 45kg以下儿童禁用。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2024-03-22 09:55:37</w:t>
            </w:r>
          </w:p>
        </w:tc>
        <w:tc>
          <w:tcPr>
            <w:tcW w:w="756"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10356173</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50245924</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眼科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胡少丹</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用法用量: 阿柏西普眼内注射溶液, 每次给药剂量不合适，本品每次宜给药2mg。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2024-03-22 09:55:37</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10356174</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50245924</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眼科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胡少丹</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用法用量: 阿柏西普眼内注射溶液, 每次给药剂量不合适，本品每次宜给药2mg。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2024-03-15 17:01:46</w:t>
            </w:r>
          </w:p>
        </w:tc>
        <w:tc>
          <w:tcPr>
            <w:tcW w:w="756" w:type="dxa"/>
            <w:vAlign w:val="center"/>
          </w:tcPr>
          <w:p>
            <w:pPr>
              <w:keepNext w:val="0"/>
              <w:keepLines w:val="0"/>
              <w:widowControl/>
              <w:suppressLineNumbers w:val="0"/>
              <w:jc w:val="left"/>
              <w:textAlignment w:val="center"/>
              <w:rPr>
                <w:rFonts w:hint="default"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10340374</w:t>
            </w:r>
          </w:p>
        </w:tc>
        <w:tc>
          <w:tcPr>
            <w:tcW w:w="672"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50024448</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眼科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胡少丹</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用法用量: 阿柏西普眼内注射溶液, 每次给药剂量不合适，本品每次宜给药2mg。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2024-03-15 17:01:46</w:t>
            </w:r>
          </w:p>
        </w:tc>
        <w:tc>
          <w:tcPr>
            <w:tcW w:w="756"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10340373</w:t>
            </w:r>
          </w:p>
        </w:tc>
        <w:tc>
          <w:tcPr>
            <w:tcW w:w="672"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50024448</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眼科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胡少丹</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用法用量: 阿柏西普眼内注射溶液, 每次给药剂量不合适，本品每次宜给药2mg。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2024-03-09 11:08:15</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10324580</w:t>
            </w:r>
          </w:p>
        </w:tc>
        <w:tc>
          <w:tcPr>
            <w:tcW w:w="672"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50238732</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眼科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胡少丹</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用法用量: 阿柏西普眼内注射溶液, 每次给药剂量不合适，本品每次宜给药2mg。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2024-03-09 11:08:15</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10324581</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50238732</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眼科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胡少丹</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用法用量: 阿柏西普眼内注射溶液, 每次给药剂量不合适，本品每次宜给药2mg。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2024-03-06 08:54:31</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10317151</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50245924</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眼科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胡少丹</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用法用量: 阿柏西普眼内注射溶液, 每次给药剂量不合适，本品每次宜给药2mg。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2024-03-06 08:54:31</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10317152</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50245924</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眼科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胡少丹</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用法用量: 阿柏西普眼内注射溶液, 每次给药剂量不合适，本品每次宜给药2mg。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2024-03-22 10:55:57</w:t>
            </w:r>
          </w:p>
        </w:tc>
        <w:tc>
          <w:tcPr>
            <w:tcW w:w="756"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10356558</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50253513</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中内科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金少威</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适应症: 琥珀酸美托洛尔缓释片, 本品用于治疗高血压、心绞痛及伴有左心室收缩功能异常的症状稳定的慢性心力衰竭，不建议超适应症使用。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2024-03-14 10:43:00</w:t>
            </w:r>
          </w:p>
        </w:tc>
        <w:tc>
          <w:tcPr>
            <w:tcW w:w="756"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10336693</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50071990</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风湿病专家门诊</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罗桢敏</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用法用量: 阿达木单抗注射液, 每次给药剂量不合适。 本品用于强直性脊柱炎患者宜每次40mg给药。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2024-03-23 14:08:03</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10359573</w:t>
            </w:r>
          </w:p>
        </w:tc>
        <w:tc>
          <w:tcPr>
            <w:tcW w:w="672"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50257668</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内科专家</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罗桢敏</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用法用量: 枸橼酸托法替布片, 给药剂量不合适。 本品推荐剂量为5mg，每天两次。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2024-03-05 13:41:38</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10315999</w:t>
            </w:r>
          </w:p>
        </w:tc>
        <w:tc>
          <w:tcPr>
            <w:tcW w:w="672"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50263317</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儿科专家门诊</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唐勤勤</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适应症: 头孢地尼胶囊, 本品用于敏感菌所致：呼吸系统、尿路、皮肤及软组织、骨关节、腹腔、盆腔感染等，不建议超适应症使用。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2024-03-17 08:32:40</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10343128</w:t>
            </w:r>
          </w:p>
        </w:tc>
        <w:tc>
          <w:tcPr>
            <w:tcW w:w="672"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50151759</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儿科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唐勤勤</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适应症: 头孢地尼胶囊, 本品用于敏感菌所致：呼吸系统、尿路、皮肤及软组织、骨关节、腹腔、盆腔感染等，不建议超适应症使用。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2024-03-10 14:36:30</w:t>
            </w:r>
          </w:p>
        </w:tc>
        <w:tc>
          <w:tcPr>
            <w:tcW w:w="756"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10327874</w:t>
            </w:r>
          </w:p>
        </w:tc>
        <w:tc>
          <w:tcPr>
            <w:tcW w:w="672"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50265367</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儿科</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唐勤勤</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适应症: 头孢地尼胶囊, 本品用于敏感菌所致：呼吸系统、尿路、皮肤及软组织、骨关节、腹腔、盆腔感染等，不建议超适应症使用。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2024-03-05 18:08:14</w:t>
            </w:r>
          </w:p>
        </w:tc>
        <w:tc>
          <w:tcPr>
            <w:tcW w:w="756"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10316731</w:t>
            </w:r>
          </w:p>
        </w:tc>
        <w:tc>
          <w:tcPr>
            <w:tcW w:w="672"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50201716</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儿科专家门诊</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唐勤勤</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适应症: 头孢地尼胶囊, 本品用于敏感菌所致：呼吸系统、尿路、皮肤及软组织、骨关节、腹腔、盆腔感染等，不建议超适应症使用。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2024-03-12 11:08:59</w:t>
            </w:r>
          </w:p>
        </w:tc>
        <w:tc>
          <w:tcPr>
            <w:tcW w:w="756"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10332175</w:t>
            </w:r>
          </w:p>
        </w:tc>
        <w:tc>
          <w:tcPr>
            <w:tcW w:w="672"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50214714</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全科医学</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王天舒</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适应症: 琥珀酸美托洛尔缓释片, 本品用于治疗高血压、心绞痛及伴有左心室收缩功能异常的症状稳定的慢性心力衰竭，不建议超适应症使用。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适应症: 盐酸文拉法辛胶囊, 本品适用于治疗各种类型抑郁症，不建议超适应症使用。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2024-03-12 09:24:18</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10331573</w:t>
            </w:r>
          </w:p>
        </w:tc>
        <w:tc>
          <w:tcPr>
            <w:tcW w:w="672"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50008433</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全科医学</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王天舒</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药品用量超过规定用药天数: 阿立哌唑片, 外配处方超过30日用量。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2024-03-21 16:29:57</w:t>
            </w:r>
          </w:p>
        </w:tc>
        <w:tc>
          <w:tcPr>
            <w:tcW w:w="756"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10355154</w:t>
            </w:r>
          </w:p>
        </w:tc>
        <w:tc>
          <w:tcPr>
            <w:tcW w:w="672"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50011795</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全科医学</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肖勇</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适应症: 琥珀酸美托洛尔缓释片, 本品用于治疗高血压、心绞痛及伴有左心室收缩功能异常的症状稳定的慢性心力衰竭，不建议超适应症使用。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2024-03-20 08:34:55</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10350747</w:t>
            </w:r>
          </w:p>
        </w:tc>
        <w:tc>
          <w:tcPr>
            <w:tcW w:w="672"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50000083</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全科医学</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肖勇</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适应症: 琥珀酸美托洛尔缓释片, 本品用于治疗高血压、心绞痛及伴有左心室收缩功能异常的症状稳定的慢性心力衰竭，不建议超适应症使用。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2024-03-24 09:38:17</w:t>
            </w:r>
          </w:p>
        </w:tc>
        <w:tc>
          <w:tcPr>
            <w:tcW w:w="756"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10360968</w:t>
            </w:r>
          </w:p>
        </w:tc>
        <w:tc>
          <w:tcPr>
            <w:tcW w:w="672"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50058091</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全科医学</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肖勇</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适应症: 盐酸埃克替尼片, 本品单药适用于治疗既往接受过至少一个化疗方案失败后的局部晚期或转移性非小细胞肺癌（NSCLC），既往化疗主要是指以铂类为基础的联合化疗。 不建议超适应症使用。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2024-03-31 16:14:42</w:t>
            </w:r>
          </w:p>
        </w:tc>
        <w:tc>
          <w:tcPr>
            <w:tcW w:w="756"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10380615</w:t>
            </w:r>
          </w:p>
        </w:tc>
        <w:tc>
          <w:tcPr>
            <w:tcW w:w="67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50181970</w:t>
            </w:r>
          </w:p>
        </w:tc>
        <w:tc>
          <w:tcPr>
            <w:tcW w:w="792"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全科医学</w:t>
            </w:r>
          </w:p>
        </w:tc>
        <w:tc>
          <w:tcPr>
            <w:tcW w:w="88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肖勇</w:t>
            </w:r>
          </w:p>
        </w:tc>
        <w:tc>
          <w:tcPr>
            <w:tcW w:w="4548" w:type="dxa"/>
            <w:vAlign w:val="center"/>
          </w:tcPr>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适应症: 盐酸米那普仑片, 本品治疗抑郁症，不建议超适应症使用。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2024-03-18 10:19:29</w:t>
            </w:r>
          </w:p>
        </w:tc>
        <w:tc>
          <w:tcPr>
            <w:tcW w:w="756"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10346517</w:t>
            </w:r>
          </w:p>
        </w:tc>
        <w:tc>
          <w:tcPr>
            <w:tcW w:w="672"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50018560</w:t>
            </w:r>
          </w:p>
        </w:tc>
        <w:tc>
          <w:tcPr>
            <w:tcW w:w="792"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儿科</w:t>
            </w:r>
          </w:p>
        </w:tc>
        <w:tc>
          <w:tcPr>
            <w:tcW w:w="888"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张艳</w:t>
            </w:r>
          </w:p>
        </w:tc>
        <w:tc>
          <w:tcPr>
            <w:tcW w:w="4548"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儿童青少年: 阿奇霉素片, 阿奇霉素片剂仅适用于体重大于45kg的儿童， 45kg以下儿童禁用。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2024-03-13 15:28:44</w:t>
            </w:r>
          </w:p>
        </w:tc>
        <w:tc>
          <w:tcPr>
            <w:tcW w:w="756"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10335240</w:t>
            </w:r>
          </w:p>
        </w:tc>
        <w:tc>
          <w:tcPr>
            <w:tcW w:w="672"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50051039</w:t>
            </w:r>
          </w:p>
        </w:tc>
        <w:tc>
          <w:tcPr>
            <w:tcW w:w="792"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呼吸内科</w:t>
            </w:r>
          </w:p>
        </w:tc>
        <w:tc>
          <w:tcPr>
            <w:tcW w:w="888"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郑德财</w:t>
            </w:r>
          </w:p>
        </w:tc>
        <w:tc>
          <w:tcPr>
            <w:tcW w:w="4548"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药品用量超过规定用药天数: 注射用胸腺法新, 门诊处方超过30日用量。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2024-03-27 10:01:24</w:t>
            </w:r>
          </w:p>
        </w:tc>
        <w:tc>
          <w:tcPr>
            <w:tcW w:w="756"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10369065</w:t>
            </w:r>
          </w:p>
        </w:tc>
        <w:tc>
          <w:tcPr>
            <w:tcW w:w="672"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50010406</w:t>
            </w:r>
          </w:p>
        </w:tc>
        <w:tc>
          <w:tcPr>
            <w:tcW w:w="792"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泌尿外科（专家）</w:t>
            </w:r>
          </w:p>
        </w:tc>
        <w:tc>
          <w:tcPr>
            <w:tcW w:w="888"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朱大明</w:t>
            </w:r>
          </w:p>
        </w:tc>
        <w:tc>
          <w:tcPr>
            <w:tcW w:w="4548"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适应症: 复方丙酸氯倍他索软膏, 本品具有抗炎、抗皮肤角化异常等作用，适用于寻常型银屑病的治疗, 不建议超适应症使用。</w:t>
            </w:r>
          </w:p>
        </w:tc>
      </w:tr>
    </w:tbl>
    <w:p>
      <w:pPr>
        <w:pBdr>
          <w:top w:val="none" w:color="auto" w:sz="0" w:space="0"/>
          <w:left w:val="none" w:color="auto" w:sz="0" w:space="0"/>
          <w:bottom w:val="none" w:color="auto" w:sz="0" w:space="0"/>
          <w:right w:val="none" w:color="auto" w:sz="0" w:space="0"/>
        </w:pBd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FB1D9C"/>
    <w:multiLevelType w:val="singleLevel"/>
    <w:tmpl w:val="94FB1D9C"/>
    <w:lvl w:ilvl="0" w:tentative="0">
      <w:start w:val="1"/>
      <w:numFmt w:val="decimal"/>
      <w:suff w:val="nothing"/>
      <w:lvlText w:val="（%1）"/>
      <w:lvlJc w:val="left"/>
    </w:lvl>
  </w:abstractNum>
  <w:abstractNum w:abstractNumId="1">
    <w:nsid w:val="A58D030A"/>
    <w:multiLevelType w:val="singleLevel"/>
    <w:tmpl w:val="A58D030A"/>
    <w:lvl w:ilvl="0" w:tentative="0">
      <w:start w:val="2"/>
      <w:numFmt w:val="chineseCounting"/>
      <w:suff w:val="nothing"/>
      <w:lvlText w:val="%1、"/>
      <w:lvlJc w:val="left"/>
      <w:rPr>
        <w:rFonts w:hint="eastAsia"/>
      </w:rPr>
    </w:lvl>
  </w:abstractNum>
  <w:abstractNum w:abstractNumId="2">
    <w:nsid w:val="450A50A0"/>
    <w:multiLevelType w:val="singleLevel"/>
    <w:tmpl w:val="450A50A0"/>
    <w:lvl w:ilvl="0" w:tentative="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YTk2NWU3OTRhNTU0YjZlNWE0ODExMjY4YzM0MTgifQ=="/>
  </w:docVars>
  <w:rsids>
    <w:rsidRoot w:val="71D40A45"/>
    <w:rsid w:val="00313B68"/>
    <w:rsid w:val="0070132D"/>
    <w:rsid w:val="00AC6614"/>
    <w:rsid w:val="00E1669B"/>
    <w:rsid w:val="02971350"/>
    <w:rsid w:val="02F834C3"/>
    <w:rsid w:val="033D01B7"/>
    <w:rsid w:val="038D51FF"/>
    <w:rsid w:val="04515B4E"/>
    <w:rsid w:val="05154417"/>
    <w:rsid w:val="051C4B47"/>
    <w:rsid w:val="056930E1"/>
    <w:rsid w:val="056D277C"/>
    <w:rsid w:val="05913C80"/>
    <w:rsid w:val="065B4E27"/>
    <w:rsid w:val="07173020"/>
    <w:rsid w:val="072100F0"/>
    <w:rsid w:val="08017351"/>
    <w:rsid w:val="08A52F15"/>
    <w:rsid w:val="092F562C"/>
    <w:rsid w:val="09401438"/>
    <w:rsid w:val="09B50CE4"/>
    <w:rsid w:val="09E9758B"/>
    <w:rsid w:val="0AB1434A"/>
    <w:rsid w:val="0AC87CEF"/>
    <w:rsid w:val="0ACD3FE6"/>
    <w:rsid w:val="0C297FBF"/>
    <w:rsid w:val="0CF77927"/>
    <w:rsid w:val="0E0B47C9"/>
    <w:rsid w:val="0FA820B8"/>
    <w:rsid w:val="0FFE02D1"/>
    <w:rsid w:val="10111A91"/>
    <w:rsid w:val="10FF1B93"/>
    <w:rsid w:val="113509A4"/>
    <w:rsid w:val="11657F33"/>
    <w:rsid w:val="11AA5DE0"/>
    <w:rsid w:val="12047B5C"/>
    <w:rsid w:val="13A23F30"/>
    <w:rsid w:val="153B3323"/>
    <w:rsid w:val="16005D04"/>
    <w:rsid w:val="16124680"/>
    <w:rsid w:val="162C073C"/>
    <w:rsid w:val="163D4862"/>
    <w:rsid w:val="16D23887"/>
    <w:rsid w:val="17654071"/>
    <w:rsid w:val="17852EB9"/>
    <w:rsid w:val="183A4A17"/>
    <w:rsid w:val="19762565"/>
    <w:rsid w:val="19804F81"/>
    <w:rsid w:val="19EA2CB8"/>
    <w:rsid w:val="19FC1BCA"/>
    <w:rsid w:val="1A136672"/>
    <w:rsid w:val="1A9E7608"/>
    <w:rsid w:val="1AC60AB1"/>
    <w:rsid w:val="1AE30A23"/>
    <w:rsid w:val="1B010DF0"/>
    <w:rsid w:val="1B2B4413"/>
    <w:rsid w:val="1B6C54F1"/>
    <w:rsid w:val="1B7C4935"/>
    <w:rsid w:val="1BE64255"/>
    <w:rsid w:val="1C22729F"/>
    <w:rsid w:val="1C586CCB"/>
    <w:rsid w:val="1D8A73FC"/>
    <w:rsid w:val="1D8C7563"/>
    <w:rsid w:val="1DD957B9"/>
    <w:rsid w:val="1E6E4D6B"/>
    <w:rsid w:val="1EA307B4"/>
    <w:rsid w:val="1ED90E1F"/>
    <w:rsid w:val="1EDF1787"/>
    <w:rsid w:val="1F9A4A0D"/>
    <w:rsid w:val="20AD412B"/>
    <w:rsid w:val="20FB6266"/>
    <w:rsid w:val="212A11F0"/>
    <w:rsid w:val="22A15B5C"/>
    <w:rsid w:val="234A27A9"/>
    <w:rsid w:val="237F2F12"/>
    <w:rsid w:val="24106B7C"/>
    <w:rsid w:val="24A23647"/>
    <w:rsid w:val="260526FE"/>
    <w:rsid w:val="261635C5"/>
    <w:rsid w:val="269841F6"/>
    <w:rsid w:val="273B2923"/>
    <w:rsid w:val="2858276B"/>
    <w:rsid w:val="2BAC3F31"/>
    <w:rsid w:val="2D9A142F"/>
    <w:rsid w:val="2DDD04BE"/>
    <w:rsid w:val="2E582ED9"/>
    <w:rsid w:val="2E781AB8"/>
    <w:rsid w:val="2EB73DDA"/>
    <w:rsid w:val="2F452060"/>
    <w:rsid w:val="2FDD44DF"/>
    <w:rsid w:val="30617880"/>
    <w:rsid w:val="31056946"/>
    <w:rsid w:val="31F03681"/>
    <w:rsid w:val="32B1065A"/>
    <w:rsid w:val="32C920E8"/>
    <w:rsid w:val="331A19AE"/>
    <w:rsid w:val="335E14A7"/>
    <w:rsid w:val="336B3702"/>
    <w:rsid w:val="33CB5542"/>
    <w:rsid w:val="33EB73CB"/>
    <w:rsid w:val="351756EF"/>
    <w:rsid w:val="3577607E"/>
    <w:rsid w:val="3612105F"/>
    <w:rsid w:val="366174E9"/>
    <w:rsid w:val="369C22BF"/>
    <w:rsid w:val="3862042D"/>
    <w:rsid w:val="391D260E"/>
    <w:rsid w:val="3973751E"/>
    <w:rsid w:val="39990AF4"/>
    <w:rsid w:val="3B3E2416"/>
    <w:rsid w:val="3B686D34"/>
    <w:rsid w:val="3B687134"/>
    <w:rsid w:val="3B9F0E77"/>
    <w:rsid w:val="3BB11899"/>
    <w:rsid w:val="3C625633"/>
    <w:rsid w:val="3CD777E0"/>
    <w:rsid w:val="3DCE6915"/>
    <w:rsid w:val="3E0A6467"/>
    <w:rsid w:val="3E1B66BF"/>
    <w:rsid w:val="3E4012AA"/>
    <w:rsid w:val="3EAC20C5"/>
    <w:rsid w:val="3EF16AD3"/>
    <w:rsid w:val="408375A9"/>
    <w:rsid w:val="41D56429"/>
    <w:rsid w:val="43055AE3"/>
    <w:rsid w:val="43445F02"/>
    <w:rsid w:val="44A12290"/>
    <w:rsid w:val="454772F5"/>
    <w:rsid w:val="4629430D"/>
    <w:rsid w:val="46B5501D"/>
    <w:rsid w:val="47530C73"/>
    <w:rsid w:val="47A901F3"/>
    <w:rsid w:val="47AB64AE"/>
    <w:rsid w:val="47CC7A22"/>
    <w:rsid w:val="485F6737"/>
    <w:rsid w:val="48A12C34"/>
    <w:rsid w:val="49102B50"/>
    <w:rsid w:val="49E538D1"/>
    <w:rsid w:val="49F87F2C"/>
    <w:rsid w:val="4A24126D"/>
    <w:rsid w:val="4A722B9F"/>
    <w:rsid w:val="4B8B0EE3"/>
    <w:rsid w:val="4BBF2974"/>
    <w:rsid w:val="4BC0530D"/>
    <w:rsid w:val="4C0B5EC0"/>
    <w:rsid w:val="4C2E30F6"/>
    <w:rsid w:val="4C843EA2"/>
    <w:rsid w:val="4CB21E9B"/>
    <w:rsid w:val="4CF71A7E"/>
    <w:rsid w:val="4D457389"/>
    <w:rsid w:val="4D8E20DE"/>
    <w:rsid w:val="4DCB78CE"/>
    <w:rsid w:val="4E600701"/>
    <w:rsid w:val="4F8A0F9E"/>
    <w:rsid w:val="4FB165FD"/>
    <w:rsid w:val="507A6C4D"/>
    <w:rsid w:val="50CA2BBB"/>
    <w:rsid w:val="52994922"/>
    <w:rsid w:val="52D13C5E"/>
    <w:rsid w:val="531E5F03"/>
    <w:rsid w:val="53207D0D"/>
    <w:rsid w:val="543A266C"/>
    <w:rsid w:val="54A92EF5"/>
    <w:rsid w:val="57132126"/>
    <w:rsid w:val="578D4AC5"/>
    <w:rsid w:val="57A4331E"/>
    <w:rsid w:val="57FE6189"/>
    <w:rsid w:val="58690F0C"/>
    <w:rsid w:val="58D72319"/>
    <w:rsid w:val="59196486"/>
    <w:rsid w:val="593B4C15"/>
    <w:rsid w:val="5A1336BF"/>
    <w:rsid w:val="5A2C4E54"/>
    <w:rsid w:val="5A921D4D"/>
    <w:rsid w:val="5AB54A54"/>
    <w:rsid w:val="5ABE74A5"/>
    <w:rsid w:val="5B1438BC"/>
    <w:rsid w:val="5BDD3026"/>
    <w:rsid w:val="5D8E5D2E"/>
    <w:rsid w:val="5DE2383B"/>
    <w:rsid w:val="5EF22348"/>
    <w:rsid w:val="5FA0782B"/>
    <w:rsid w:val="5FA41758"/>
    <w:rsid w:val="5FAA4777"/>
    <w:rsid w:val="5FBC5874"/>
    <w:rsid w:val="602C7538"/>
    <w:rsid w:val="60413E55"/>
    <w:rsid w:val="60A07AE1"/>
    <w:rsid w:val="612E6FF4"/>
    <w:rsid w:val="6142679E"/>
    <w:rsid w:val="61A53ACB"/>
    <w:rsid w:val="620D64E4"/>
    <w:rsid w:val="621B1D3E"/>
    <w:rsid w:val="625264C1"/>
    <w:rsid w:val="62A425DE"/>
    <w:rsid w:val="63BB49CD"/>
    <w:rsid w:val="643B5375"/>
    <w:rsid w:val="648D3834"/>
    <w:rsid w:val="64C0348C"/>
    <w:rsid w:val="652D28BA"/>
    <w:rsid w:val="65441338"/>
    <w:rsid w:val="65B56ACC"/>
    <w:rsid w:val="6694250C"/>
    <w:rsid w:val="67160170"/>
    <w:rsid w:val="677B5F38"/>
    <w:rsid w:val="67E22A15"/>
    <w:rsid w:val="68164583"/>
    <w:rsid w:val="686876AD"/>
    <w:rsid w:val="6882131E"/>
    <w:rsid w:val="689C5480"/>
    <w:rsid w:val="69180AC8"/>
    <w:rsid w:val="6A9869C6"/>
    <w:rsid w:val="6B7D4A0A"/>
    <w:rsid w:val="6BBB5DF6"/>
    <w:rsid w:val="6BC71775"/>
    <w:rsid w:val="6C090D72"/>
    <w:rsid w:val="6C2C19C7"/>
    <w:rsid w:val="6C5B1FD3"/>
    <w:rsid w:val="6C983716"/>
    <w:rsid w:val="6CDA5ADC"/>
    <w:rsid w:val="6DA640FF"/>
    <w:rsid w:val="6E852B4E"/>
    <w:rsid w:val="6E9956EB"/>
    <w:rsid w:val="6F112D1F"/>
    <w:rsid w:val="6FA92086"/>
    <w:rsid w:val="6FF622F8"/>
    <w:rsid w:val="70785009"/>
    <w:rsid w:val="719175A8"/>
    <w:rsid w:val="71D40A45"/>
    <w:rsid w:val="71F36DCF"/>
    <w:rsid w:val="72924202"/>
    <w:rsid w:val="73440F30"/>
    <w:rsid w:val="73800C14"/>
    <w:rsid w:val="739336A0"/>
    <w:rsid w:val="73B17C30"/>
    <w:rsid w:val="75257CC9"/>
    <w:rsid w:val="75AE5679"/>
    <w:rsid w:val="76010AB3"/>
    <w:rsid w:val="76544B51"/>
    <w:rsid w:val="76ED6462"/>
    <w:rsid w:val="78AD08B8"/>
    <w:rsid w:val="794A6A15"/>
    <w:rsid w:val="79A31E15"/>
    <w:rsid w:val="7AA939A7"/>
    <w:rsid w:val="7AE10B06"/>
    <w:rsid w:val="7B246866"/>
    <w:rsid w:val="7D2F1BB7"/>
    <w:rsid w:val="7D4672A0"/>
    <w:rsid w:val="7D52727E"/>
    <w:rsid w:val="7E006F24"/>
    <w:rsid w:val="7E223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2023-09-06T08:47:00Z</dcterms:created>
  <dc:creator>郭</dc:creator>
  <cp:lastModifiedBy>徐洪锋</cp:lastModifiedBy>
  <dcterms:modified xsi:type="dcterms:W3CDTF">2024-04-30T03:51:11Z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A15F1DC0719D4EDBB62459BEC2CE1B87_11</vt:lpwstr>
  </property>
</Properties>
</file>