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20</w:t>
      </w:r>
      <w:r>
        <w:rPr>
          <w:rFonts w:hint="eastAsia"/>
          <w:b/>
          <w:bCs/>
          <w:sz w:val="48"/>
          <w:szCs w:val="48"/>
        </w:rPr>
        <w:t>2</w:t>
      </w:r>
      <w:r>
        <w:rPr>
          <w:rFonts w:hint="eastAsia"/>
          <w:b/>
          <w:bCs/>
          <w:sz w:val="48"/>
          <w:szCs w:val="48"/>
          <w:lang w:val="en-US" w:eastAsia="zh-CN"/>
        </w:rPr>
        <w:t>4</w:t>
      </w:r>
      <w:r>
        <w:rPr>
          <w:rFonts w:hint="eastAsia"/>
          <w:b/>
          <w:bCs/>
          <w:sz w:val="48"/>
          <w:szCs w:val="48"/>
        </w:rPr>
        <w:t>年</w:t>
      </w:r>
      <w:r>
        <w:rPr>
          <w:rFonts w:hint="eastAsia"/>
          <w:b/>
          <w:bCs/>
          <w:sz w:val="48"/>
          <w:szCs w:val="48"/>
          <w:lang w:val="en-US" w:eastAsia="zh-CN"/>
        </w:rPr>
        <w:t>2</w:t>
      </w:r>
      <w:r>
        <w:rPr>
          <w:rFonts w:hint="eastAsia"/>
          <w:b/>
          <w:bCs/>
          <w:sz w:val="48"/>
          <w:szCs w:val="48"/>
        </w:rPr>
        <w:t>月</w:t>
      </w:r>
      <w:r>
        <w:rPr>
          <w:rFonts w:hint="eastAsia"/>
          <w:b/>
          <w:bCs/>
          <w:sz w:val="48"/>
          <w:szCs w:val="48"/>
          <w:lang w:val="en-US" w:eastAsia="zh-CN"/>
        </w:rPr>
        <w:t>外配</w:t>
      </w:r>
      <w:r>
        <w:rPr>
          <w:rFonts w:hint="eastAsia"/>
          <w:b/>
          <w:bCs/>
          <w:sz w:val="48"/>
          <w:szCs w:val="48"/>
        </w:rPr>
        <w:t>处方分析总结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一、检查方法：以卫生部颁布的《处方管理办法》及《医院处方点评管理规范（试行）》为标准，检查202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</w:rPr>
        <w:t>月份(202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01</w:t>
      </w:r>
      <w:r>
        <w:rPr>
          <w:rFonts w:hint="eastAsia" w:ascii="宋体" w:hAnsi="宋体" w:cs="宋体"/>
          <w:kern w:val="0"/>
          <w:sz w:val="24"/>
        </w:rPr>
        <w:t>日~202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29</w:t>
      </w:r>
      <w:r>
        <w:rPr>
          <w:rFonts w:hint="eastAsia" w:ascii="宋体" w:hAnsi="宋体" w:cs="宋体"/>
          <w:kern w:val="0"/>
          <w:sz w:val="24"/>
        </w:rPr>
        <w:t>日)的</w:t>
      </w:r>
      <w:r>
        <w:rPr>
          <w:rFonts w:hint="eastAsia" w:ascii="宋体" w:hAnsi="宋体" w:cs="宋体"/>
          <w:kern w:val="0"/>
          <w:sz w:val="24"/>
          <w:lang w:val="en-US" w:eastAsia="zh-CN"/>
        </w:rPr>
        <w:t>外配</w:t>
      </w:r>
      <w:r>
        <w:rPr>
          <w:rFonts w:hint="eastAsia" w:ascii="宋体" w:hAnsi="宋体" w:cs="宋体"/>
          <w:kern w:val="0"/>
          <w:sz w:val="24"/>
        </w:rPr>
        <w:t>处方。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</w:p>
    <w:p>
      <w:pPr>
        <w:numPr>
          <w:ilvl w:val="0"/>
          <w:numId w:val="1"/>
        </w:num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检查内容：按不合理处方判断标准的有关内容进行处方规范书写、临床诊断与用药是否相符、药物间配伍禁忌、药品的名称、规格、剂量和剂型是否合适等检查。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三、处方检查判定依据：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据卫生部《医院处方点评管理规范（试行）》的具体细则</w:t>
      </w:r>
    </w:p>
    <w:p>
      <w:pPr>
        <w:spacing w:line="240" w:lineRule="atLeast"/>
        <w:ind w:firstLine="240" w:firstLineChars="1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（一） 有下列情况之一的，应当判定为不规范处方：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1、处方的前记、正文、后记内容缺项，书写不规范或者字迹难以辨认的；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2、医师签名、签章不规范或者与签名、签章的留样不一致的；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3、药师未对处方进行适宜性审核的（处方后记的审核、调配、核对、发药栏目无审核调配药师及核对发药药师签名，或者单人值班调剂未执行双签名规定）；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4、新生儿、婴幼儿处方未写明日、月龄的；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5、西药、中成药与中药饮片未分别开具处方的；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6、未使用药品规范名称开具处方的；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7、药品的剂量、规格、数量、单位等书写不规范或不清楚的；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8、用法、用量使用“遵医嘱”、“自用”等含糊不清字句的；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9、处方修改未签名并注明修改日期，或药品超剂量使用未注明原因和再次签名的；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10、开具处方未写临床诊断或临床诊断书写不全的；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11、单张门急诊处方超过五种药品的；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12、无特殊情况下，门诊处方超过7日用量，急诊处方超过3日用量，慢性病、老年病或特殊情况下需要适当延长处方用量未注明理由的；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13、开具麻醉药品、精神药品、医疗用毒性药品、放射性药品等特殊管理药品处方未执行国家有关规定的；</w:t>
      </w:r>
    </w:p>
    <w:p>
      <w:pPr>
        <w:spacing w:line="240" w:lineRule="atLeast"/>
        <w:ind w:firstLine="240" w:firstLineChars="1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（二） 有下列情况之一的，应当判定为用药不适宜处方：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1、适应证不适宜的；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2、遴选的药品不适宜的；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3、药品剂型或给药途径不适宜的；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4、无正当理由不首选国家基本药物的；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5、用法、用量不适宜的；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6、联合用药不适宜的；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7、重复给药的；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8、有配伍禁忌或者不良相互作用的；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9、其它用药不适宜情况的。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（三） 有下列情况之一的，应当判定为超常处方：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  <w:lang w:eastAsia="zh-CN"/>
        </w:rPr>
        <w:t>、</w:t>
      </w:r>
      <w:r>
        <w:rPr>
          <w:rFonts w:hint="eastAsia" w:ascii="宋体" w:hAnsi="宋体" w:cs="宋体"/>
          <w:kern w:val="0"/>
          <w:sz w:val="24"/>
        </w:rPr>
        <w:t>无适应证用药；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  <w:lang w:eastAsia="zh-CN"/>
        </w:rPr>
        <w:t>、</w:t>
      </w:r>
      <w:r>
        <w:rPr>
          <w:rFonts w:hint="eastAsia" w:ascii="宋体" w:hAnsi="宋体" w:cs="宋体"/>
          <w:kern w:val="0"/>
          <w:sz w:val="24"/>
        </w:rPr>
        <w:t>无正当理由开具高价药的；</w:t>
      </w:r>
    </w:p>
    <w:p>
      <w:pPr>
        <w:spacing w:line="240" w:lineRule="atLeast"/>
        <w:ind w:left="-540" w:leftChars="-257" w:firstLine="1020" w:firstLineChars="425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</w:t>
      </w:r>
      <w:r>
        <w:rPr>
          <w:rFonts w:hint="eastAsia" w:ascii="宋体" w:hAnsi="宋体" w:cs="宋体"/>
          <w:kern w:val="0"/>
          <w:sz w:val="24"/>
          <w:lang w:eastAsia="zh-CN"/>
        </w:rPr>
        <w:t>、</w:t>
      </w:r>
      <w:r>
        <w:rPr>
          <w:rFonts w:hint="eastAsia" w:ascii="宋体" w:hAnsi="宋体" w:cs="宋体"/>
          <w:kern w:val="0"/>
          <w:sz w:val="24"/>
        </w:rPr>
        <w:t>无正当理由超说明书用药的；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</w:t>
      </w:r>
      <w:r>
        <w:rPr>
          <w:rFonts w:hint="eastAsia" w:ascii="宋体" w:hAnsi="宋体" w:cs="宋体"/>
          <w:kern w:val="0"/>
          <w:sz w:val="24"/>
          <w:lang w:eastAsia="zh-CN"/>
        </w:rPr>
        <w:t>、</w:t>
      </w:r>
      <w:r>
        <w:rPr>
          <w:rFonts w:hint="eastAsia" w:ascii="宋体" w:hAnsi="宋体" w:cs="宋体"/>
          <w:kern w:val="0"/>
          <w:sz w:val="24"/>
        </w:rPr>
        <w:t>无正当理由为同一患者同时开具2种以上药理作用相同药物的。</w:t>
      </w:r>
    </w:p>
    <w:p>
      <w:pPr>
        <w:rPr>
          <w:rFonts w:hint="eastAsia" w:ascii="宋体" w:hAnsi="宋体" w:cs="宋体"/>
          <w:b/>
          <w:bCs/>
          <w:kern w:val="0"/>
          <w:sz w:val="24"/>
        </w:rPr>
      </w:pPr>
    </w:p>
    <w:p>
      <w:pPr>
        <w:rPr>
          <w:rFonts w:hint="eastAsia" w:ascii="宋体" w:hAnsi="宋体" w:cs="宋体"/>
          <w:b/>
          <w:bCs/>
          <w:kern w:val="0"/>
          <w:sz w:val="24"/>
        </w:rPr>
      </w:pPr>
    </w:p>
    <w:p>
      <w:pPr>
        <w:rPr>
          <w:rFonts w:hint="eastAsia" w:ascii="宋体" w:hAnsi="宋体" w:cs="宋体"/>
          <w:color w:val="0000FF"/>
          <w:kern w:val="0"/>
          <w:sz w:val="24"/>
          <w:highlight w:val="none"/>
        </w:rPr>
      </w:pPr>
      <w:r>
        <w:rPr>
          <w:rFonts w:hint="eastAsia" w:ascii="宋体" w:hAnsi="宋体" w:cs="宋体"/>
          <w:b/>
          <w:bCs/>
          <w:kern w:val="0"/>
          <w:sz w:val="24"/>
        </w:rPr>
        <w:t>四、检查结果：</w:t>
      </w:r>
      <w:r>
        <w:rPr>
          <w:rFonts w:hint="eastAsia" w:ascii="宋体" w:hAnsi="宋体" w:cs="宋体"/>
          <w:kern w:val="0"/>
          <w:sz w:val="24"/>
        </w:rPr>
        <w:t>共审阅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外配</w:t>
      </w:r>
      <w:r>
        <w:rPr>
          <w:rFonts w:hint="eastAsia" w:ascii="宋体" w:hAnsi="宋体" w:cs="宋体"/>
          <w:kern w:val="0"/>
          <w:sz w:val="24"/>
        </w:rPr>
        <w:t>处方</w:t>
      </w:r>
      <w:r>
        <w:rPr>
          <w:rFonts w:hint="eastAsia" w:ascii="宋体" w:hAnsi="宋体" w:cs="宋体"/>
          <w:kern w:val="0"/>
          <w:sz w:val="24"/>
          <w:lang w:val="en-US" w:eastAsia="zh-CN"/>
        </w:rPr>
        <w:t>275</w:t>
      </w:r>
      <w:r>
        <w:rPr>
          <w:rFonts w:hint="eastAsia" w:ascii="宋体" w:hAnsi="宋体" w:cs="宋体"/>
          <w:color w:val="auto"/>
          <w:kern w:val="0"/>
          <w:sz w:val="24"/>
        </w:rPr>
        <w:t>张，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人工点评之后对以下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46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张处方的不合理情况进行点评考核，处方合格率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83.27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%。</w:t>
      </w:r>
    </w:p>
    <w:p>
      <w:pPr>
        <w:spacing w:line="240" w:lineRule="atLeast"/>
        <w:rPr>
          <w:rFonts w:hint="eastAsia" w:ascii="宋体" w:hAnsi="宋体" w:cs="宋体"/>
          <w:b/>
          <w:bCs/>
          <w:kern w:val="0"/>
          <w:sz w:val="24"/>
          <w:lang w:val="en-US" w:eastAsia="zh-CN"/>
        </w:rPr>
      </w:pPr>
    </w:p>
    <w:p>
      <w:pPr>
        <w:numPr>
          <w:ilvl w:val="0"/>
          <w:numId w:val="2"/>
        </w:numPr>
        <w:spacing w:line="240" w:lineRule="atLeas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分析：本次点评处方存在问题主要如下：</w:t>
      </w:r>
    </w:p>
    <w:p>
      <w:pPr>
        <w:widowControl/>
        <w:numPr>
          <w:ilvl w:val="0"/>
          <w:numId w:val="3"/>
        </w:numPr>
        <w:ind w:leftChars="0"/>
        <w:jc w:val="left"/>
        <w:textAlignment w:val="bottom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诊断：应有用药相关的诊断。</w:t>
      </w:r>
    </w:p>
    <w:p>
      <w:pPr>
        <w:widowControl/>
        <w:numPr>
          <w:ilvl w:val="0"/>
          <w:numId w:val="3"/>
        </w:numPr>
        <w:ind w:leftChars="0"/>
        <w:jc w:val="left"/>
        <w:textAlignment w:val="bottom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用量：处方不得超过</w:t>
      </w:r>
      <w:r>
        <w:rPr>
          <w:rFonts w:hint="eastAsia" w:ascii="宋体" w:hAnsi="宋体" w:cs="宋体"/>
          <w:kern w:val="0"/>
          <w:sz w:val="24"/>
          <w:lang w:val="en-US" w:eastAsia="zh-CN"/>
        </w:rPr>
        <w:t>30</w:t>
      </w:r>
      <w:r>
        <w:rPr>
          <w:rFonts w:hint="eastAsia" w:ascii="宋体" w:hAnsi="宋体" w:cs="宋体"/>
          <w:kern w:val="0"/>
          <w:sz w:val="24"/>
        </w:rPr>
        <w:t>日用量</w:t>
      </w:r>
      <w:r>
        <w:rPr>
          <w:rFonts w:hint="eastAsia" w:ascii="宋体" w:hAnsi="宋体" w:cs="宋体"/>
          <w:kern w:val="0"/>
          <w:sz w:val="24"/>
          <w:lang w:eastAsia="zh-CN"/>
        </w:rPr>
        <w:t>。</w:t>
      </w:r>
    </w:p>
    <w:p>
      <w:pPr>
        <w:spacing w:line="240" w:lineRule="atLeast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rPr>
          <w:rFonts w:hint="default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六</w:t>
      </w:r>
      <w:r>
        <w:rPr>
          <w:rFonts w:hint="eastAsia" w:ascii="宋体" w:hAnsi="宋体" w:cs="宋体"/>
          <w:kern w:val="0"/>
          <w:sz w:val="24"/>
        </w:rPr>
        <w:t>、不合格处方举例：</w:t>
      </w:r>
    </w:p>
    <w:tbl>
      <w:tblPr>
        <w:tblStyle w:val="3"/>
        <w:tblW w:w="8964" w:type="dxa"/>
        <w:tblInd w:w="-2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756"/>
        <w:gridCol w:w="672"/>
        <w:gridCol w:w="960"/>
        <w:gridCol w:w="912"/>
        <w:gridCol w:w="4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处方日期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处方号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患者号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科室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医生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点评结果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2024-02-06 08:30:18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10261235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50244216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包益辉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康柏西普眼用注射液, 每次给药剂量不合适，本品宜每次0.5mg给药。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2024-02-06 08:30:17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10261234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50244216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包益辉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康柏西普眼用注射液, 每次给药剂量不合适，本品宜每次0.5mg给药。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2024-02-05 10:25:00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10259486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50130719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包益辉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2024-02-02 11:28:38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10253089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50001016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全科医学(方便门诊)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曹英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阿奇霉素片, 本品适用于敏感菌引起的：呼吸系统、尿道炎和宫颈炎、皮肤软组织等感染；军团菌病、莱姆病、衣原体和支原体感染等，不建议超适应症使用。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2024-02-08 07:58:13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10265170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50051039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肿瘤内科(专家)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董珍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药品用量超过规定用药天数: 注射用胸腺法新, 门诊处方超过30日用量。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2024-02-19 09:34:33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10280379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50021713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肿瘤内科(专家)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董珍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药品用量超过规定用药天数: 注射用胸腺法新, 门诊处方超过30日用量。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2024-02-07 09:00:22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10263469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50253735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肿瘤内科(专家)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董珍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注射用胸腺法新, 给药频率不合适，本品宜每周2次给药，两次相隔3-4天。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2024-02-25 14:27:10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10294755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50033239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消化内科（专家）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段建华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注射用英夫利西单抗, 给药途径不适合，本品宜静脉滴注、输液泵滴注给药。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2024-02-28 09:35:24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10300836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50022178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消化内科（专家）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段建华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注射用英夫利西单抗, 给药途径不适合，本品宜静脉滴注、输液泵滴注给药。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2024-02-26 09:17:02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10295943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50038598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消化内科(W)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段建华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注射用英夫利西单抗, 给药途径不适合，本品宜静脉滴注、输液泵滴注给药。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2024-02-28 08:58:02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10300576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50020911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傅杰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2024-02-28 08:58:02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10300577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50020911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傅杰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2024-02-07 13:13:33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10264436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50236724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康柏西普眼用注射液, 每次给药剂量不合适，本品宜每次0.5mg给药。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2024-02-07 13:13:33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10264437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50236724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康柏西普眼用注射液, 每次给药剂量不合适，本品宜每次0.5mg给药。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2024-02-06 13:06:16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10262318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50095157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康柏西普眼用注射液, 每次给药剂量不合适，本品宜每次0.5mg给药。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2024-02-06 13:06:16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10262317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50095157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康柏西普眼用注射液, 每次给药剂量不合适，本品宜每次0.5mg给药。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2024-02-24 16:45:37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10293109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50231737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2024-02-24 16:45:36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10293108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50231737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2024-02-19 17:29:21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10282235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50245924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2024-02-19 17:29:21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10282234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50245924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2024-02-05 10:35:45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10259568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50007273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2024-02-05 10:35:45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10259569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50007273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2024-02-03 11:05:13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10255287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50204284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2024-02-03 11:05:13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10255288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50204284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2024-02-02 08:30:40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10252065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50245924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2024-02-02 08:30:40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10252064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50245924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阿柏西普眼内注射溶液, 每次给药剂量不合适，本品每次宜给药2mg。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2024-02-16 11:02:17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10274711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50074683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康柏西普眼用注射液, 每次给药剂量不合适，本品宜每次0.5mg给药。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2024-02-16 11:02:17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10274712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50074683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康柏西普眼用注射液, 每次给药剂量不合适，本品宜每次0.5mg给药。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2024-02-23 10:09:28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10289665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50253513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中内科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金少威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琥珀酸美托洛尔缓释片, 本品用于治疗高血压、心绞痛及伴有左心室收缩功能异常的症状稳定的慢性心力衰竭，不建议超适应症使用。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2024-02-25 09:16:22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10293663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50008940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中内科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柯娟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阿奇霉素片, 本品适用于敏感菌引起的：呼吸系统、尿道炎和宫颈炎、皮肤软组织等感染；军团菌病、莱姆病、衣原体和支原体感染等，不建议超适应症使用。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2024-02-06 10:57:31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10261978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50022145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呼吸内科（专家）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李慧娇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药品用量超过规定用药天数: 胸腺五肽注射液, 门诊处方超过30日用量。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2024-02-03 16:35:07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10256246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50201935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脊柱（专科）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刘浩飞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特立帕肽注射液, 给药途径不合适，本品宜皮下注射给药。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2024-02-22 15:35:05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10288619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50034589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内分泌科(甲状腺)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鲁剑梅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沙库巴曲缬沙坦钠片, 本品用于射血分数降低的慢性心力衰竭（NYHA II-IV级，LVEF &lt;40%）和原发性高血压患者，不建议超适应症使用。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2024-02-26 09:30:03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10296023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50015493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耳鼻喉科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石娟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琥珀酸美托洛尔缓释片, 本品用于治疗高血压、心绞痛及伴有左心室收缩功能异常的症状稳定的慢性心力衰竭，不建议超适应症使用。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2024-02-25 11:03:53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10294256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50013820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内分泌科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孙莉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琥珀酸美托洛尔缓释片, 本品用于治疗高血压、心绞痛及伴有左心室收缩功能异常的症状稳定的慢性心力衰竭，不建议超适应症使用。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2024-02-20 20:54:42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10284699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50034121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儿科专家门诊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唐勤勤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头孢地尼胶囊, 本品用于敏感菌所致：呼吸系统、尿路、皮肤及软组织、骨关节、腹腔、盆腔感染等，不建议超适应症使用。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2024-02-03 11:21:04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10255378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50005725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皮肤科（副高专家）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王燕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阿布昔替尼片, 每次给药剂量不合适，本品宜每次100-200mg给药。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2024-02-23 17:30:31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10291210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50002825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阿奇霉素片, 本品适用于敏感菌引起的：呼吸系统、尿道炎和宫颈炎、皮肤软组织等感染；军团菌病、莱姆病、衣原体和支原体感染等，不建议超适应症使用。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2024-02-08 17:07:25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10267083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50011795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琥珀酸美托洛尔缓释片, 本品用于治疗高血压、心绞痛及伴有左心室收缩功能异常的症状稳定的慢性心力衰竭，不建议超适应症使用。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2024-02-01 15:06:54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10251371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50008433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阿立哌唑片, 本品用于治疗精神分裂症，不建议超适应症使用。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药品用量超过规定用药天数: 阿立哌唑片, 门诊处方超过30日用量。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2024-02-01 11:28:48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10250815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50004077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阿莫西林胶囊, 本品适用于敏感菌引起的：上下呼吸道感染；泌尿生殖道感染；皮肤软组织感染；急性单纯性淋病、伤寒、伤寒带菌者及钩端螺旋体病；根除幽门螺杆菌等，不建议超适应症使用。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2024-02-23 17:27:47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10291205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50002825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阿奇霉素片, 本品适用于敏感菌引起的：呼吸系统、尿道炎和宫颈炎、皮肤软组织等感染；军团菌病、莱姆病、衣原体和支原体感染等，不建议超适应症使用。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2024-02-28 09:05:04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10300608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50011795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琥珀酸美托洛尔缓释片, 本品用于治疗高血压、心绞痛及伴有左心室收缩功能异常的症状稳定的慢性心力衰竭，不建议超适应症使用。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2024-02-19 15:40:22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10281920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50007078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头孢呋辛酯片, 本品用于敏感菌所致：呼吸系统、尿路、血流、皮肤及软组织、骨关节、腹腔、盆腔感染、莱姆病等，不建议超适应症使用。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2024-02-23 14:18:10</w:t>
            </w:r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10290432</w:t>
            </w:r>
          </w:p>
        </w:tc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50033337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心血管内科</w:t>
            </w:r>
          </w:p>
        </w:tc>
        <w:tc>
          <w:tcPr>
            <w:tcW w:w="9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叶玲玲</w:t>
            </w:r>
          </w:p>
        </w:tc>
        <w:tc>
          <w:tcPr>
            <w:tcW w:w="43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琥珀酸美托洛尔缓释片, 本品用于治疗高血压、心绞痛及伴有左心室收缩功能异常的症状稳定的慢性心力衰竭，不建议超适应症使用。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FB1D9C"/>
    <w:multiLevelType w:val="singleLevel"/>
    <w:tmpl w:val="94FB1D9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A58D030A"/>
    <w:multiLevelType w:val="singleLevel"/>
    <w:tmpl w:val="A58D030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50A50A0"/>
    <w:multiLevelType w:val="singleLevel"/>
    <w:tmpl w:val="450A50A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71D40A45"/>
    <w:rsid w:val="000D408C"/>
    <w:rsid w:val="00313B68"/>
    <w:rsid w:val="0070132D"/>
    <w:rsid w:val="00AC6614"/>
    <w:rsid w:val="00E1669B"/>
    <w:rsid w:val="02703D04"/>
    <w:rsid w:val="02971350"/>
    <w:rsid w:val="02F834C3"/>
    <w:rsid w:val="033D01B7"/>
    <w:rsid w:val="038D51FF"/>
    <w:rsid w:val="04515B4E"/>
    <w:rsid w:val="05154417"/>
    <w:rsid w:val="051C4B47"/>
    <w:rsid w:val="056930E1"/>
    <w:rsid w:val="056D277C"/>
    <w:rsid w:val="05913C80"/>
    <w:rsid w:val="065B4E27"/>
    <w:rsid w:val="07173020"/>
    <w:rsid w:val="072100F0"/>
    <w:rsid w:val="08017351"/>
    <w:rsid w:val="08A52F15"/>
    <w:rsid w:val="092F562C"/>
    <w:rsid w:val="09401438"/>
    <w:rsid w:val="09B50CE4"/>
    <w:rsid w:val="09E9758B"/>
    <w:rsid w:val="0AB1434A"/>
    <w:rsid w:val="0AC87CEF"/>
    <w:rsid w:val="0ACD3FE6"/>
    <w:rsid w:val="0C297FBF"/>
    <w:rsid w:val="0CF77927"/>
    <w:rsid w:val="0E003910"/>
    <w:rsid w:val="0E0B47C9"/>
    <w:rsid w:val="0FA820B8"/>
    <w:rsid w:val="0FFE02D1"/>
    <w:rsid w:val="10111A91"/>
    <w:rsid w:val="10FF1B93"/>
    <w:rsid w:val="113509A4"/>
    <w:rsid w:val="11657F33"/>
    <w:rsid w:val="11AA5DE0"/>
    <w:rsid w:val="12047B5C"/>
    <w:rsid w:val="13A23F30"/>
    <w:rsid w:val="153B3323"/>
    <w:rsid w:val="16005D04"/>
    <w:rsid w:val="16124680"/>
    <w:rsid w:val="162C073C"/>
    <w:rsid w:val="163D4862"/>
    <w:rsid w:val="16D23887"/>
    <w:rsid w:val="17654071"/>
    <w:rsid w:val="17852EB9"/>
    <w:rsid w:val="183A4A17"/>
    <w:rsid w:val="19762565"/>
    <w:rsid w:val="19804F81"/>
    <w:rsid w:val="19EA2CB8"/>
    <w:rsid w:val="19FC1BCA"/>
    <w:rsid w:val="1A136672"/>
    <w:rsid w:val="1A9E7608"/>
    <w:rsid w:val="1AC60AB1"/>
    <w:rsid w:val="1AE30A23"/>
    <w:rsid w:val="1B010DF0"/>
    <w:rsid w:val="1B2B4413"/>
    <w:rsid w:val="1B6C54F1"/>
    <w:rsid w:val="1B7C4935"/>
    <w:rsid w:val="1BE64255"/>
    <w:rsid w:val="1C22729F"/>
    <w:rsid w:val="1C586CCB"/>
    <w:rsid w:val="1D8A73FC"/>
    <w:rsid w:val="1D8C7563"/>
    <w:rsid w:val="1DD957B9"/>
    <w:rsid w:val="1E6E4D6B"/>
    <w:rsid w:val="1EA307B4"/>
    <w:rsid w:val="1ED90E1F"/>
    <w:rsid w:val="1EDF1787"/>
    <w:rsid w:val="1F9A4A0D"/>
    <w:rsid w:val="20AD412B"/>
    <w:rsid w:val="20FB6266"/>
    <w:rsid w:val="212A11F0"/>
    <w:rsid w:val="22A15B5C"/>
    <w:rsid w:val="234A27A9"/>
    <w:rsid w:val="237F2F12"/>
    <w:rsid w:val="24106B7C"/>
    <w:rsid w:val="24A23647"/>
    <w:rsid w:val="260526FE"/>
    <w:rsid w:val="261635C5"/>
    <w:rsid w:val="269841F6"/>
    <w:rsid w:val="273B2923"/>
    <w:rsid w:val="2858276B"/>
    <w:rsid w:val="2BAC3F31"/>
    <w:rsid w:val="2D9A142F"/>
    <w:rsid w:val="2DDD04BE"/>
    <w:rsid w:val="2E582ED9"/>
    <w:rsid w:val="2E781AB8"/>
    <w:rsid w:val="2EB73DDA"/>
    <w:rsid w:val="2F452060"/>
    <w:rsid w:val="2FDD44DF"/>
    <w:rsid w:val="30617880"/>
    <w:rsid w:val="31056946"/>
    <w:rsid w:val="31F03681"/>
    <w:rsid w:val="32B1065A"/>
    <w:rsid w:val="32C920E8"/>
    <w:rsid w:val="331A19AE"/>
    <w:rsid w:val="335E14A7"/>
    <w:rsid w:val="336B3702"/>
    <w:rsid w:val="33CB5542"/>
    <w:rsid w:val="33EB73CB"/>
    <w:rsid w:val="351756EF"/>
    <w:rsid w:val="3577607E"/>
    <w:rsid w:val="3612105F"/>
    <w:rsid w:val="369C22BF"/>
    <w:rsid w:val="3862042D"/>
    <w:rsid w:val="391D260E"/>
    <w:rsid w:val="3973751E"/>
    <w:rsid w:val="39990AF4"/>
    <w:rsid w:val="3B3E2416"/>
    <w:rsid w:val="3B686D34"/>
    <w:rsid w:val="3B687134"/>
    <w:rsid w:val="3B9F0E77"/>
    <w:rsid w:val="3BB11899"/>
    <w:rsid w:val="3C625633"/>
    <w:rsid w:val="3CD777E0"/>
    <w:rsid w:val="3D05196A"/>
    <w:rsid w:val="3DCE6915"/>
    <w:rsid w:val="3E0A6467"/>
    <w:rsid w:val="3E1B66BF"/>
    <w:rsid w:val="3E4012AA"/>
    <w:rsid w:val="3EAC20C5"/>
    <w:rsid w:val="3EF16AD3"/>
    <w:rsid w:val="408375A9"/>
    <w:rsid w:val="41D56429"/>
    <w:rsid w:val="43055AE3"/>
    <w:rsid w:val="43445F02"/>
    <w:rsid w:val="44A12290"/>
    <w:rsid w:val="454772F5"/>
    <w:rsid w:val="4629430D"/>
    <w:rsid w:val="46B5501D"/>
    <w:rsid w:val="47530C73"/>
    <w:rsid w:val="47A901F3"/>
    <w:rsid w:val="47AB64AE"/>
    <w:rsid w:val="47CC7A22"/>
    <w:rsid w:val="485F6737"/>
    <w:rsid w:val="48A12C34"/>
    <w:rsid w:val="49102B50"/>
    <w:rsid w:val="49E538D1"/>
    <w:rsid w:val="49F87F2C"/>
    <w:rsid w:val="4A24126D"/>
    <w:rsid w:val="4A722B9F"/>
    <w:rsid w:val="4B8B0EE3"/>
    <w:rsid w:val="4BBF2974"/>
    <w:rsid w:val="4BC0530D"/>
    <w:rsid w:val="4C0B5EC0"/>
    <w:rsid w:val="4C2E30F6"/>
    <w:rsid w:val="4C843EA2"/>
    <w:rsid w:val="4CB21E9B"/>
    <w:rsid w:val="4CF71A7E"/>
    <w:rsid w:val="4D457389"/>
    <w:rsid w:val="4D8E20DE"/>
    <w:rsid w:val="4DCB78CE"/>
    <w:rsid w:val="4E600701"/>
    <w:rsid w:val="4F8A0F9E"/>
    <w:rsid w:val="4FB165FD"/>
    <w:rsid w:val="507A6C4D"/>
    <w:rsid w:val="50CA2BBB"/>
    <w:rsid w:val="52994922"/>
    <w:rsid w:val="52D13C5E"/>
    <w:rsid w:val="531E5F03"/>
    <w:rsid w:val="53207D0D"/>
    <w:rsid w:val="543A266C"/>
    <w:rsid w:val="54A92EF5"/>
    <w:rsid w:val="57132126"/>
    <w:rsid w:val="578D4AC5"/>
    <w:rsid w:val="57A4331E"/>
    <w:rsid w:val="57FE6189"/>
    <w:rsid w:val="58690F0C"/>
    <w:rsid w:val="58D72319"/>
    <w:rsid w:val="59196486"/>
    <w:rsid w:val="5A1336BF"/>
    <w:rsid w:val="5A2C4E54"/>
    <w:rsid w:val="5A921D4D"/>
    <w:rsid w:val="5AB54A54"/>
    <w:rsid w:val="5ABE74A5"/>
    <w:rsid w:val="5B1438BC"/>
    <w:rsid w:val="5BDD3026"/>
    <w:rsid w:val="5D8E5D2E"/>
    <w:rsid w:val="5DE2383B"/>
    <w:rsid w:val="5EF22348"/>
    <w:rsid w:val="5FA0782B"/>
    <w:rsid w:val="5FA41758"/>
    <w:rsid w:val="5FAA4777"/>
    <w:rsid w:val="5FBC5874"/>
    <w:rsid w:val="602C7538"/>
    <w:rsid w:val="60413E55"/>
    <w:rsid w:val="60A07AE1"/>
    <w:rsid w:val="612E6FF4"/>
    <w:rsid w:val="6142679E"/>
    <w:rsid w:val="61A53ACB"/>
    <w:rsid w:val="620D64E4"/>
    <w:rsid w:val="621B1D3E"/>
    <w:rsid w:val="625264C1"/>
    <w:rsid w:val="62A425DE"/>
    <w:rsid w:val="63BB49CD"/>
    <w:rsid w:val="643B5375"/>
    <w:rsid w:val="648D3834"/>
    <w:rsid w:val="64C0348C"/>
    <w:rsid w:val="652D28BA"/>
    <w:rsid w:val="65441338"/>
    <w:rsid w:val="65B56ACC"/>
    <w:rsid w:val="6694250C"/>
    <w:rsid w:val="67160170"/>
    <w:rsid w:val="677B5F38"/>
    <w:rsid w:val="67E22A15"/>
    <w:rsid w:val="68164583"/>
    <w:rsid w:val="686876AD"/>
    <w:rsid w:val="6882131E"/>
    <w:rsid w:val="689C5480"/>
    <w:rsid w:val="69180AC8"/>
    <w:rsid w:val="6A9869C6"/>
    <w:rsid w:val="6B7D4A0A"/>
    <w:rsid w:val="6BBB5DF6"/>
    <w:rsid w:val="6BC71775"/>
    <w:rsid w:val="6C090D72"/>
    <w:rsid w:val="6C2C19C7"/>
    <w:rsid w:val="6C5B1FD3"/>
    <w:rsid w:val="6C983716"/>
    <w:rsid w:val="6CDA5ADC"/>
    <w:rsid w:val="6DA640FF"/>
    <w:rsid w:val="6E852B4E"/>
    <w:rsid w:val="6E9956EB"/>
    <w:rsid w:val="6F112D1F"/>
    <w:rsid w:val="6FA92086"/>
    <w:rsid w:val="6FF622F8"/>
    <w:rsid w:val="70785009"/>
    <w:rsid w:val="719175A8"/>
    <w:rsid w:val="71D40A45"/>
    <w:rsid w:val="71F36DCF"/>
    <w:rsid w:val="72924202"/>
    <w:rsid w:val="73440F30"/>
    <w:rsid w:val="73800C14"/>
    <w:rsid w:val="739336A0"/>
    <w:rsid w:val="73B17C30"/>
    <w:rsid w:val="75257CC9"/>
    <w:rsid w:val="75AE5679"/>
    <w:rsid w:val="76010AB3"/>
    <w:rsid w:val="76544B51"/>
    <w:rsid w:val="76ED6462"/>
    <w:rsid w:val="78AD08B8"/>
    <w:rsid w:val="794A6A15"/>
    <w:rsid w:val="79A31E15"/>
    <w:rsid w:val="7AA939A7"/>
    <w:rsid w:val="7AE10B06"/>
    <w:rsid w:val="7B246866"/>
    <w:rsid w:val="7D2F1BB7"/>
    <w:rsid w:val="7D4672A0"/>
    <w:rsid w:val="7D52727E"/>
    <w:rsid w:val="7E006F24"/>
    <w:rsid w:val="7E22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2023-09-06T08:47:00Z</dcterms:created>
  <dc:creator>郭</dc:creator>
  <cp:lastModifiedBy>徐洪锋</cp:lastModifiedBy>
  <dcterms:modified xsi:type="dcterms:W3CDTF">2024-05-01T01:01:46Z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A15F1DC0719D4EDBB62459BEC2CE1B87_11</vt:lpwstr>
  </property>
</Properties>
</file>