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48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0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064" w:type="dxa"/>
            <w:shd w:val="clear"/>
            <w:vAlign w:val="center"/>
          </w:tcPr>
          <w:p>
            <w:pPr>
              <w:rPr>
                <w:rFonts w:hint="eastAsia" w:ascii="微软雅黑" w:hAnsi="微软雅黑" w:eastAsia="微软雅黑" w:cs="微软雅黑"/>
                <w:i w:val="0"/>
                <w:iCs w:val="0"/>
                <w:caps w:val="0"/>
                <w:color w:val="333333"/>
                <w:spacing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064"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0"/>
              <w:jc w:val="center"/>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kern w:val="0"/>
                <w:sz w:val="30"/>
                <w:szCs w:val="30"/>
                <w:bdr w:val="none" w:color="auto" w:sz="0" w:space="0"/>
                <w:lang w:val="en-US" w:eastAsia="zh-CN" w:bidi="ar"/>
              </w:rPr>
              <w:t>市卫生健康委召开市直系统青年干部人才座谈会</w:t>
            </w:r>
          </w:p>
          <w:p>
            <w:pPr>
              <w:keepNext w:val="0"/>
              <w:keepLines w:val="0"/>
              <w:widowControl/>
              <w:suppressLineNumbers w:val="0"/>
              <w:pBdr>
                <w:top w:val="single" w:color="CCCCCC" w:sz="4" w:space="0"/>
                <w:left w:val="none" w:color="auto" w:sz="0" w:space="0"/>
                <w:bottom w:val="none" w:color="auto" w:sz="0" w:space="0"/>
                <w:right w:val="none" w:color="auto" w:sz="0" w:space="0"/>
              </w:pBdr>
              <w:wordWrap w:val="0"/>
              <w:spacing w:before="60" w:beforeAutospacing="0" w:after="60" w:afterAutospacing="0"/>
              <w:ind w:left="60" w:right="60"/>
              <w:jc w:val="center"/>
              <w:rPr>
                <w:color w:val="DDDDDD"/>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064" w:type="dxa"/>
            <w:shd w:val="clear"/>
            <w:vAlign w:val="center"/>
          </w:tcPr>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420"/>
              <w:gridCol w:w="907"/>
              <w:gridCol w:w="907"/>
              <w:gridCol w:w="907"/>
              <w:gridCol w:w="907"/>
              <w:gridCol w:w="2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500" w:type="pct"/>
                  <w:shd w:val="clear"/>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jc w:val="right"/>
                    <w:rPr>
                      <w:rFonts w:hint="eastAsia" w:ascii="微软雅黑" w:hAnsi="微软雅黑" w:eastAsia="微软雅黑" w:cs="微软雅黑"/>
                      <w:color w:val="333333"/>
                      <w:sz w:val="18"/>
                      <w:szCs w:val="18"/>
                    </w:rPr>
                  </w:pPr>
                </w:p>
              </w:tc>
              <w:tc>
                <w:tcPr>
                  <w:tcW w:w="6" w:type="dxa"/>
                  <w:shd w:val="clear"/>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jc w:val="right"/>
                    <w:rPr>
                      <w:rFonts w:hint="eastAsia" w:ascii="微软雅黑" w:hAnsi="微软雅黑" w:eastAsia="微软雅黑" w:cs="微软雅黑"/>
                      <w:color w:val="333333"/>
                      <w:sz w:val="18"/>
                      <w:szCs w:val="18"/>
                    </w:rPr>
                  </w:pPr>
                </w:p>
              </w:tc>
              <w:tc>
                <w:tcPr>
                  <w:tcW w:w="6" w:type="dxa"/>
                  <w:shd w:val="clear"/>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color w:val="333333"/>
                      <w:sz w:val="18"/>
                      <w:szCs w:val="18"/>
                    </w:rPr>
                  </w:pPr>
                </w:p>
              </w:tc>
              <w:tc>
                <w:tcPr>
                  <w:tcW w:w="6" w:type="dxa"/>
                  <w:shd w:val="clear"/>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color w:val="333333"/>
                      <w:sz w:val="18"/>
                      <w:szCs w:val="18"/>
                    </w:rPr>
                  </w:pPr>
                </w:p>
              </w:tc>
              <w:tc>
                <w:tcPr>
                  <w:tcW w:w="6" w:type="dxa"/>
                  <w:shd w:val="clear"/>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color w:val="333333"/>
                      <w:sz w:val="18"/>
                      <w:szCs w:val="18"/>
                    </w:rPr>
                  </w:pPr>
                </w:p>
              </w:tc>
              <w:tc>
                <w:tcPr>
                  <w:tcW w:w="1250" w:type="pct"/>
                  <w:shd w:val="clear"/>
                  <w:tcMar>
                    <w:top w:w="0" w:type="dxa"/>
                    <w:left w:w="0" w:type="dxa"/>
                    <w:bottom w:w="0" w:type="dxa"/>
                    <w:right w:w="0" w:type="dxa"/>
                  </w:tcMar>
                  <w:vAlign w:val="center"/>
                </w:tcPr>
                <w:p>
                  <w:pPr>
                    <w:jc w:val="left"/>
                    <w:rPr>
                      <w:rFonts w:hint="eastAsia" w:ascii="微软雅黑" w:hAnsi="微软雅黑" w:eastAsia="微软雅黑" w:cs="微软雅黑"/>
                      <w:color w:val="333333"/>
                      <w:sz w:val="18"/>
                      <w:szCs w:val="18"/>
                    </w:rPr>
                  </w:pPr>
                </w:p>
              </w:tc>
            </w:tr>
          </w:tbl>
          <w:p>
            <w:pPr>
              <w:keepNext w:val="0"/>
              <w:keepLines w:val="0"/>
              <w:widowControl/>
              <w:suppressLineNumbers w:val="0"/>
              <w:wordWrap w:val="0"/>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064" w:type="dxa"/>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420"/>
              <w:jc w:val="both"/>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8"/>
                <w:szCs w:val="28"/>
                <w:bdr w:val="none" w:color="auto" w:sz="0" w:space="0"/>
              </w:rPr>
              <w:t>为深入学习贯彻习近平新时代中国特色社会主义思想，进一步推进市直系统“三支队伍”建设，更好倾听青年心声，凝聚青年力量，打造砥砺前行、挺膺担当的卫健青年生力军，4月29日下午，市卫生健康委召开市直卫生健康系统青年干部人才座谈会，市卫健委党委书记、主任袁乐出席会议并讲话，党委副书记王骏主持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18"/>
                <w:szCs w:val="18"/>
                <w:u w:val="none"/>
                <w:bdr w:val="none" w:color="auto" w:sz="0" w:space="0"/>
              </w:rPr>
              <w:fldChar w:fldCharType="begin"/>
            </w:r>
            <w:r>
              <w:rPr>
                <w:rFonts w:hint="eastAsia" w:ascii="微软雅黑" w:hAnsi="微软雅黑" w:eastAsia="微软雅黑" w:cs="微软雅黑"/>
                <w:i w:val="0"/>
                <w:iCs w:val="0"/>
                <w:caps w:val="0"/>
                <w:color w:val="333333"/>
                <w:spacing w:val="0"/>
                <w:sz w:val="18"/>
                <w:szCs w:val="18"/>
                <w:u w:val="none"/>
                <w:bdr w:val="none" w:color="auto" w:sz="0" w:space="0"/>
              </w:rPr>
              <w:instrText xml:space="preserve"> HYPERLINK "https://sxws.sx.gov.cn/picture/0/b7f807be3e3a43abbfd065dcacf33f80.jpg" \t "https://sxws.sx.gov.cn/art/2024/4/30/_blank" </w:instrText>
            </w:r>
            <w:r>
              <w:rPr>
                <w:rFonts w:hint="eastAsia" w:ascii="微软雅黑" w:hAnsi="微软雅黑" w:eastAsia="微软雅黑" w:cs="微软雅黑"/>
                <w:i w:val="0"/>
                <w:iCs w:val="0"/>
                <w:caps w:val="0"/>
                <w:color w:val="333333"/>
                <w:spacing w:val="0"/>
                <w:sz w:val="18"/>
                <w:szCs w:val="18"/>
                <w:u w:val="none"/>
                <w:bdr w:val="none" w:color="auto" w:sz="0" w:space="0"/>
              </w:rPr>
              <w:fldChar w:fldCharType="separate"/>
            </w:r>
            <w:r>
              <w:rPr>
                <w:rFonts w:hint="eastAsia" w:ascii="微软雅黑" w:hAnsi="微软雅黑" w:eastAsia="微软雅黑" w:cs="微软雅黑"/>
                <w:i w:val="0"/>
                <w:iCs w:val="0"/>
                <w:caps w:val="0"/>
                <w:color w:val="333333"/>
                <w:spacing w:val="0"/>
                <w:sz w:val="18"/>
                <w:szCs w:val="18"/>
                <w:u w:val="none"/>
                <w:bdr w:val="none" w:color="auto" w:sz="0" w:space="0"/>
              </w:rPr>
              <w:fldChar w:fldCharType="end"/>
            </w:r>
            <w:r>
              <w:rPr>
                <w:rFonts w:hint="eastAsia" w:ascii="微软雅黑" w:hAnsi="微软雅黑" w:eastAsia="微软雅黑" w:cs="微软雅黑"/>
                <w:i w:val="0"/>
                <w:iCs w:val="0"/>
                <w:caps w:val="0"/>
                <w:color w:val="333333"/>
                <w:spacing w:val="0"/>
                <w:sz w:val="18"/>
                <w:szCs w:val="18"/>
                <w:u w:val="none"/>
                <w:bdr w:val="none" w:color="auto" w:sz="0" w:space="0"/>
              </w:rPr>
              <w:fldChar w:fldCharType="begin"/>
            </w:r>
            <w:r>
              <w:rPr>
                <w:rFonts w:hint="eastAsia" w:ascii="微软雅黑" w:hAnsi="微软雅黑" w:eastAsia="微软雅黑" w:cs="微软雅黑"/>
                <w:i w:val="0"/>
                <w:iCs w:val="0"/>
                <w:caps w:val="0"/>
                <w:color w:val="333333"/>
                <w:spacing w:val="0"/>
                <w:sz w:val="18"/>
                <w:szCs w:val="18"/>
                <w:u w:val="none"/>
                <w:bdr w:val="none" w:color="auto" w:sz="0" w:space="0"/>
              </w:rPr>
              <w:instrText xml:space="preserve"> HYPERLINK "https://sxws.sx.gov.cn/picture/0/c077b571a0494b7a8c466092ed6842ac.jpg" \t "https://sxws.sx.gov.cn/art/2024/4/30/_blank" </w:instrText>
            </w:r>
            <w:r>
              <w:rPr>
                <w:rFonts w:hint="eastAsia" w:ascii="微软雅黑" w:hAnsi="微软雅黑" w:eastAsia="微软雅黑" w:cs="微软雅黑"/>
                <w:i w:val="0"/>
                <w:iCs w:val="0"/>
                <w:caps w:val="0"/>
                <w:color w:val="333333"/>
                <w:spacing w:val="0"/>
                <w:sz w:val="18"/>
                <w:szCs w:val="18"/>
                <w:u w:val="none"/>
                <w:bdr w:val="none" w:color="auto" w:sz="0" w:space="0"/>
              </w:rPr>
              <w:fldChar w:fldCharType="separate"/>
            </w:r>
            <w:r>
              <w:rPr>
                <w:rFonts w:hint="eastAsia" w:ascii="微软雅黑" w:hAnsi="微软雅黑" w:eastAsia="微软雅黑" w:cs="微软雅黑"/>
                <w:i w:val="0"/>
                <w:iCs w:val="0"/>
                <w:caps w:val="0"/>
                <w:color w:val="333333"/>
                <w:spacing w:val="0"/>
                <w:sz w:val="18"/>
                <w:szCs w:val="18"/>
                <w:u w:val="none"/>
                <w:bdr w:val="none" w:color="auto" w:sz="0" w:space="0"/>
              </w:rPr>
              <w:fldChar w:fldCharType="end"/>
            </w:r>
            <w:r>
              <w:rPr>
                <w:rFonts w:hint="eastAsia" w:ascii="微软雅黑" w:hAnsi="微软雅黑" w:eastAsia="微软雅黑" w:cs="微软雅黑"/>
                <w:i w:val="0"/>
                <w:iCs w:val="0"/>
                <w:caps w:val="0"/>
                <w:color w:val="333333"/>
                <w:spacing w:val="0"/>
                <w:sz w:val="18"/>
                <w:szCs w:val="18"/>
                <w:u w:val="none"/>
                <w:bdr w:val="none" w:color="auto" w:sz="0" w:space="0"/>
              </w:rPr>
              <w:drawing>
                <wp:inline distT="0" distB="0" distL="114300" distR="114300">
                  <wp:extent cx="5076825" cy="3505200"/>
                  <wp:effectExtent l="0" t="0" r="13335" b="0"/>
                  <wp:docPr id="2" name="图片 3" descr="IMG_25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7"/>
                          <pic:cNvPicPr>
                            <a:picLocks noChangeAspect="1"/>
                          </pic:cNvPicPr>
                        </pic:nvPicPr>
                        <pic:blipFill>
                          <a:blip r:embed="rId5"/>
                          <a:stretch>
                            <a:fillRect/>
                          </a:stretch>
                        </pic:blipFill>
                        <pic:spPr>
                          <a:xfrm>
                            <a:off x="0" y="0"/>
                            <a:ext cx="5076825" cy="35052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420"/>
              <w:jc w:val="both"/>
              <w:rPr>
                <w:rFonts w:hint="eastAsia" w:ascii="微软雅黑" w:hAnsi="微软雅黑" w:eastAsia="微软雅黑" w:cs="微软雅黑"/>
                <w:color w:val="333333"/>
                <w:sz w:val="28"/>
                <w:szCs w:val="28"/>
              </w:rPr>
            </w:pPr>
            <w:r>
              <w:rPr>
                <w:rFonts w:hint="eastAsia" w:ascii="微软雅黑" w:hAnsi="微软雅黑" w:eastAsia="微软雅黑" w:cs="微软雅黑"/>
                <w:i w:val="0"/>
                <w:iCs w:val="0"/>
                <w:caps w:val="0"/>
                <w:color w:val="333333"/>
                <w:spacing w:val="0"/>
                <w:sz w:val="28"/>
                <w:szCs w:val="28"/>
                <w:bdr w:val="none" w:color="auto" w:sz="0" w:space="0"/>
              </w:rPr>
              <w:t>座谈会上，来自委机关及直属单位的14名青年代表围绕“谱写新时代胆剑篇 争做卫健好青年”主题作交流发言，大家结合自身工作实际和成长经历，畅谈认识体会、提出意见建议。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color w:val="333333"/>
              </w:rPr>
            </w:pPr>
            <w:r>
              <w:rPr>
                <w:rFonts w:hint="default" w:ascii="sans-serif" w:hAnsi="sans-serif" w:eastAsia="sans-serif" w:cs="sans-serif"/>
                <w:i w:val="0"/>
                <w:iCs w:val="0"/>
                <w:caps w:val="0"/>
                <w:color w:val="333333"/>
                <w:spacing w:val="0"/>
                <w:sz w:val="19"/>
                <w:szCs w:val="19"/>
                <w:u w:val="none"/>
                <w:bdr w:val="none" w:color="auto" w:sz="0" w:space="0"/>
              </w:rPr>
              <w:drawing>
                <wp:inline distT="0" distB="0" distL="114300" distR="114300">
                  <wp:extent cx="5114925" cy="3409950"/>
                  <wp:effectExtent l="0" t="0" r="5715" b="3810"/>
                  <wp:docPr id="1" name="图片 4" descr="IMG_25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8"/>
                          <pic:cNvPicPr>
                            <a:picLocks noChangeAspect="1"/>
                          </pic:cNvPicPr>
                        </pic:nvPicPr>
                        <pic:blipFill>
                          <a:blip r:embed="rId7"/>
                          <a:stretch>
                            <a:fillRect/>
                          </a:stretch>
                        </pic:blipFill>
                        <pic:spPr>
                          <a:xfrm>
                            <a:off x="0" y="0"/>
                            <a:ext cx="5114925" cy="340995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420"/>
              <w:jc w:val="both"/>
              <w:rPr>
                <w:rFonts w:hint="eastAsia" w:ascii="微软雅黑" w:hAnsi="微软雅黑" w:eastAsia="微软雅黑" w:cs="微软雅黑"/>
                <w:color w:val="333333"/>
                <w:sz w:val="28"/>
                <w:szCs w:val="28"/>
              </w:rPr>
            </w:pPr>
            <w:bookmarkStart w:id="0" w:name="_GoBack"/>
            <w:r>
              <w:rPr>
                <w:rFonts w:hint="eastAsia" w:ascii="微软雅黑" w:hAnsi="微软雅黑" w:eastAsia="微软雅黑" w:cs="微软雅黑"/>
                <w:i w:val="0"/>
                <w:iCs w:val="0"/>
                <w:caps w:val="0"/>
                <w:color w:val="333333"/>
                <w:spacing w:val="0"/>
                <w:sz w:val="28"/>
                <w:szCs w:val="28"/>
                <w:bdr w:val="none" w:color="auto" w:sz="0" w:space="0"/>
              </w:rPr>
              <w:t>袁乐代表委党委向各位青年代表和全市卫健系统青年干部职工致以节日的问候和美好的祝愿。她指出，在五四前夕召开市直系统青年干部人才座谈会，既是纪念五四运动、传承五四精神的重要活动，也是贯彻省市新春第一会精神、加强市直卫生健康系统“三支队伍”建设的重要举措，充分体现了委党委对青年干部人才队伍建设的高度重视。抓好青年工作是党和国家发展的必然要求，是推动卫生健康事业高质量发展的现实需要，是加强干部人才队伍建设的关键举措。</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420"/>
              <w:jc w:val="both"/>
              <w:rPr>
                <w:rFonts w:hint="eastAsia" w:ascii="微软雅黑" w:hAnsi="微软雅黑" w:eastAsia="微软雅黑" w:cs="微软雅黑"/>
                <w:color w:val="333333"/>
                <w:sz w:val="28"/>
                <w:szCs w:val="28"/>
              </w:rPr>
            </w:pPr>
            <w:r>
              <w:rPr>
                <w:rFonts w:hint="eastAsia" w:ascii="微软雅黑" w:hAnsi="微软雅黑" w:eastAsia="微软雅黑" w:cs="微软雅黑"/>
                <w:i w:val="0"/>
                <w:iCs w:val="0"/>
                <w:caps w:val="0"/>
                <w:color w:val="333333"/>
                <w:spacing w:val="0"/>
                <w:sz w:val="28"/>
                <w:szCs w:val="28"/>
                <w:bdr w:val="none" w:color="auto" w:sz="0" w:space="0"/>
              </w:rPr>
              <w:t>袁乐强调，青年正处于干事创业的大好时期，只有“想干事、能干事、干成事”，在“五创图强、四进争先”勇闯中国式现代化新路子、奋力打造卫生健康现代化市域实践中贡献自己的聪明才智、实现自身价值和社会价值，才能不负青春韶华，不负组织培养，不负家庭期望。系统广大青年要坚定不移立志气，增强“想干事”的源动力，“想干事”是态度问题，是干事创业的基本前提，要坚定理想信念，志存高远，勇做时代弄潮儿；要敢为善为勇担当，提升“能干事”的硬功夫，“能干事”是能力问题，是干事创业的重要保障，要积极投身医疗卫生改革发展稳定第一线，在经风雨、见世面中练就“硬脊梁”“铁肩膀”；要攻坚克难敢创新，积累“干成事”的真本事，“干成事”是最终成效，是干事创业的结果体现，要为更好地担当作为打下坚实基础、积蓄更强能量；要清正廉洁守底线，争当“干净干事”排头兵，牢牢守住“拒腐底线”，时刻做到自重自省、慎独慎微，清白做人、干净做事，永葆清正廉洁的政治本色。</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420"/>
              <w:jc w:val="both"/>
              <w:rPr>
                <w:rFonts w:hint="eastAsia" w:ascii="微软雅黑" w:hAnsi="微软雅黑" w:eastAsia="微软雅黑" w:cs="微软雅黑"/>
                <w:color w:val="333333"/>
                <w:sz w:val="28"/>
                <w:szCs w:val="28"/>
              </w:rPr>
            </w:pPr>
            <w:r>
              <w:rPr>
                <w:rFonts w:hint="eastAsia" w:ascii="微软雅黑" w:hAnsi="微软雅黑" w:eastAsia="微软雅黑" w:cs="微软雅黑"/>
                <w:i w:val="0"/>
                <w:iCs w:val="0"/>
                <w:caps w:val="0"/>
                <w:color w:val="333333"/>
                <w:spacing w:val="0"/>
                <w:sz w:val="28"/>
                <w:szCs w:val="28"/>
                <w:bdr w:val="none" w:color="auto" w:sz="0" w:space="0"/>
              </w:rPr>
              <w:t>相关委领导、政治处负责人、市直各单位团组织负责人、委机关青年干部及实践锻炼干部、市直系统青年代表参加会议。（委政治处）</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rPr>
                <w:rFonts w:hint="eastAsia" w:ascii="微软雅黑" w:hAnsi="微软雅黑" w:eastAsia="微软雅黑" w:cs="微软雅黑"/>
                <w:color w:val="333333"/>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D5C64"/>
    <w:rsid w:val="7F1D5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hyperlink" Target="https://sxws.sx.gov.cn/picture/0/bbbc64bb6e1946f9b4cda146c1cc97c6.jpg" TargetMode="External"/><Relationship Id="rId5" Type="http://schemas.openxmlformats.org/officeDocument/2006/relationships/image" Target="media/image1.jpeg"/><Relationship Id="rId4" Type="http://schemas.openxmlformats.org/officeDocument/2006/relationships/hyperlink" Target="https://sxws.sx.gov.cn/picture/0/4b1296b8ebeb4f84a9e1078048d75cfe.jpg"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2024-05-16T07:58:00Z</dcterms:created>
  <dc:creator>夏雪</dc:creator>
  <cp:lastModifiedBy>夏雪</cp:lastModifiedBy>
  <dcterms:modified xsi:type="dcterms:W3CDTF">2024-05-16T07:59:37Z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