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Theme="minorEastAsia"/>
          <w:b/>
          <w:bCs/>
          <w:sz w:val="48"/>
          <w:szCs w:val="48"/>
          <w:lang w:eastAsia="zh-CN"/>
        </w:rPr>
      </w:pPr>
      <w:bookmarkStart w:id="0" w:name="_GoBack"/>
      <w:r>
        <w:rPr>
          <w:b/>
          <w:bCs/>
          <w:sz w:val="48"/>
          <w:szCs w:val="48"/>
        </w:rPr>
        <w:t>20</w:t>
      </w:r>
      <w:r>
        <w:rPr>
          <w:rFonts w:hint="eastAsia"/>
          <w:b/>
          <w:bCs/>
          <w:sz w:val="48"/>
          <w:szCs w:val="48"/>
        </w:rPr>
        <w:t>2</w:t>
      </w:r>
      <w:r>
        <w:rPr>
          <w:rFonts w:hint="eastAsia"/>
          <w:b/>
          <w:bCs/>
          <w:sz w:val="48"/>
          <w:szCs w:val="48"/>
          <w:lang w:val="en-US" w:eastAsia="zh-CN"/>
        </w:rPr>
        <w:t>4</w:t>
      </w:r>
      <w:r>
        <w:rPr>
          <w:rFonts w:hint="eastAsia"/>
          <w:b/>
          <w:bCs/>
          <w:sz w:val="48"/>
          <w:szCs w:val="48"/>
        </w:rPr>
        <w:t>年</w:t>
      </w:r>
      <w:r>
        <w:rPr>
          <w:rFonts w:hint="eastAsia"/>
          <w:b/>
          <w:bCs/>
          <w:sz w:val="48"/>
          <w:szCs w:val="48"/>
          <w:lang w:val="en-US" w:eastAsia="zh-CN"/>
        </w:rPr>
        <w:t>4</w:t>
      </w:r>
      <w:r>
        <w:rPr>
          <w:rFonts w:hint="eastAsia"/>
          <w:b/>
          <w:bCs/>
          <w:sz w:val="48"/>
          <w:szCs w:val="48"/>
        </w:rPr>
        <w:t>月</w:t>
      </w:r>
      <w:r>
        <w:rPr>
          <w:rFonts w:hint="eastAsia"/>
          <w:b/>
          <w:bCs/>
          <w:sz w:val="48"/>
          <w:szCs w:val="48"/>
          <w:lang w:val="en-US" w:eastAsia="zh-CN"/>
        </w:rPr>
        <w:t>外配</w:t>
      </w:r>
      <w:r>
        <w:rPr>
          <w:rFonts w:hint="eastAsia"/>
          <w:b/>
          <w:bCs/>
          <w:sz w:val="48"/>
          <w:szCs w:val="48"/>
        </w:rPr>
        <w:t>处方分析</w:t>
      </w:r>
      <w:r>
        <w:rPr>
          <w:rFonts w:hint="eastAsia"/>
          <w:b/>
          <w:bCs/>
          <w:sz w:val="48"/>
          <w:szCs w:val="48"/>
          <w:lang w:eastAsia="zh-CN"/>
        </w:rPr>
        <w:t>点评</w:t>
      </w:r>
    </w:p>
    <w:bookmarkEnd w:id="0"/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ind w:firstLine="480" w:firstLineChars="200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一、检查方法：以卫生部颁布的《处方管理办法》及《医院处方点评管理规范（试行）》为标准，检查202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月份(202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01</w:t>
      </w:r>
      <w:r>
        <w:rPr>
          <w:rFonts w:hint="eastAsia" w:ascii="宋体" w:hAnsi="宋体" w:cs="宋体"/>
          <w:kern w:val="0"/>
          <w:sz w:val="24"/>
        </w:rPr>
        <w:t>日~202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年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30</w:t>
      </w:r>
      <w:r>
        <w:rPr>
          <w:rFonts w:hint="eastAsia" w:ascii="宋体" w:hAnsi="宋体" w:cs="宋体"/>
          <w:kern w:val="0"/>
          <w:sz w:val="24"/>
        </w:rPr>
        <w:t>日)的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外配</w:t>
      </w:r>
      <w:r>
        <w:rPr>
          <w:rFonts w:hint="eastAsia" w:ascii="宋体" w:hAnsi="宋体" w:cs="宋体"/>
          <w:kern w:val="0"/>
          <w:sz w:val="24"/>
        </w:rPr>
        <w:t>处方。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</w:p>
    <w:p>
      <w:pPr>
        <w:numPr>
          <w:ilvl w:val="0"/>
          <w:numId w:val="1"/>
        </w:num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检查内容：按不合理处方判断标准的有关内容进行处方规范书写、临床诊断与用药是否相符、药物间配伍禁忌、药品的名称、规格、剂量和剂型是否合适等检查。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三、处方检查判定依据：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 xml:space="preserve"> 据卫生部《医院处方点评管理规范（试行）》的具体细则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（一） 有下列情况之一的，应当判定为不规范处方：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1、处方的前记、正文、后记内容缺项，书写不规范或者字迹难以辨认的；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2、医师签名、签章不规范或者与签名、签章的留样不一致的；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3、药师未对处方进行适宜性审核的（处方后记的审核、调配、核对、发药栏目无审核调配药师及核对发药药师签名，或者单人值班调剂未执行双签名规定）；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4、新生儿、婴幼儿处方未写明日、月龄的；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5、西药、中成药与中药饮片未分别开具处方的；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6、未使用药品规范名称开具处方的；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7、药品的剂量、规格、数量、单位等书写不规范或不清楚的；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8、用法、用量使用“遵医嘱”、“自用”等含糊不清字句的；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9、处方修改未签名并注明修改日期，或药品超剂量使用未注明原因和再次签名的；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10、开具处方未写临床诊断或临床诊断书写不全的；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11、单张门急诊处方超过五种药品的；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12、无特殊情况下，门诊处方超过7日用量，急诊处方超过3日用量，慢性病、老年病或特殊情况下需要适当延长处方用量未注明理由的；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13、开具麻醉药品、精神药品、医疗用毒性药品、放射性药品等特殊管理药品处方未执行国家有关规定的；</w:t>
      </w:r>
    </w:p>
    <w:p>
      <w:pPr>
        <w:spacing w:line="240" w:lineRule="atLeast"/>
        <w:ind w:firstLine="240" w:firstLineChars="1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（二） 有下列情况之一的，应当判定为用药不适宜处方：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1、适应证不适宜的；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2、遴选的药品不适宜的；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3、药品剂型或给药途径不适宜的；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4、无正当理由不首选国家基本药物的；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5、用法、用量不适宜的；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6、联合用药不适宜的；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7、重复给药的；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8、有配伍禁忌或者不良相互作用的；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9、其它用药不适宜情况的。</w:t>
      </w:r>
    </w:p>
    <w:p>
      <w:pPr>
        <w:spacing w:line="240" w:lineRule="atLeast"/>
        <w:ind w:firstLine="360" w:firstLineChars="15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（三） 有下列情况之一的，应当判定为超常处方：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1.无适应证用药；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2.无正当理由开具高价药的；</w:t>
      </w:r>
    </w:p>
    <w:p>
      <w:pPr>
        <w:spacing w:line="240" w:lineRule="atLeast"/>
        <w:ind w:left="-540" w:leftChars="-257" w:firstLine="1020" w:firstLineChars="425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3.无正当理由超说明书用药的；</w:t>
      </w:r>
    </w:p>
    <w:p>
      <w:pPr>
        <w:spacing w:line="240" w:lineRule="atLeast"/>
        <w:ind w:firstLine="480" w:firstLine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4.无正当理由为同一患者同时开具2种以上药理作用相同药物的。</w:t>
      </w:r>
    </w:p>
    <w:p>
      <w:pPr>
        <w:rPr>
          <w:rFonts w:hint="eastAsia" w:ascii="宋体" w:hAnsi="宋体" w:cs="宋体"/>
          <w:b/>
          <w:bCs/>
          <w:kern w:val="0"/>
          <w:sz w:val="24"/>
        </w:rPr>
      </w:pPr>
    </w:p>
    <w:p>
      <w:pPr>
        <w:rPr>
          <w:rFonts w:hint="eastAsia" w:ascii="宋体" w:hAnsi="宋体" w:cs="宋体"/>
          <w:b/>
          <w:bCs/>
          <w:kern w:val="0"/>
          <w:sz w:val="24"/>
        </w:rPr>
      </w:pPr>
    </w:p>
    <w:p>
      <w:pPr>
        <w:rPr>
          <w:rFonts w:hint="eastAsia" w:ascii="宋体" w:hAnsi="宋体" w:cs="宋体"/>
          <w:color w:val="0000FF"/>
          <w:kern w:val="0"/>
          <w:sz w:val="24"/>
          <w:highlight w:val="none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四、检查结果：</w:t>
      </w:r>
      <w:r>
        <w:rPr>
          <w:rFonts w:hint="eastAsia" w:ascii="宋体" w:hAnsi="宋体" w:cs="宋体"/>
          <w:kern w:val="0"/>
          <w:sz w:val="24"/>
        </w:rPr>
        <w:t>共审阅</w:t>
      </w:r>
      <w:r>
        <w:rPr>
          <w:rFonts w:hint="eastAsia" w:ascii="宋体" w:hAnsi="宋体" w:cs="宋体"/>
          <w:kern w:val="0"/>
          <w:sz w:val="24"/>
          <w:lang w:val="en-US" w:eastAsia="zh-CN"/>
        </w:rPr>
        <w:t>4</w:t>
      </w:r>
      <w:r>
        <w:rPr>
          <w:rFonts w:hint="eastAsia" w:ascii="宋体" w:hAnsi="宋体" w:cs="宋体"/>
          <w:kern w:val="0"/>
          <w:sz w:val="24"/>
        </w:rPr>
        <w:t>月</w:t>
      </w:r>
      <w:r>
        <w:rPr>
          <w:rFonts w:hint="eastAsia" w:ascii="宋体" w:hAnsi="宋体" w:cs="宋体"/>
          <w:kern w:val="0"/>
          <w:sz w:val="24"/>
          <w:lang w:val="en-US" w:eastAsia="zh-CN"/>
        </w:rPr>
        <w:t>外配</w:t>
      </w:r>
      <w:r>
        <w:rPr>
          <w:rFonts w:hint="eastAsia" w:ascii="宋体" w:hAnsi="宋体" w:cs="宋体"/>
          <w:kern w:val="0"/>
          <w:sz w:val="24"/>
        </w:rPr>
        <w:t>处方</w:t>
      </w:r>
      <w:r>
        <w:rPr>
          <w:rFonts w:hint="eastAsia" w:ascii="宋体" w:hAnsi="宋体" w:cs="宋体"/>
          <w:kern w:val="0"/>
          <w:sz w:val="24"/>
          <w:lang w:val="en-US" w:eastAsia="zh-CN"/>
        </w:rPr>
        <w:t>349</w:t>
      </w:r>
      <w:r>
        <w:rPr>
          <w:rFonts w:hint="eastAsia" w:ascii="宋体" w:hAnsi="宋体" w:cs="宋体"/>
          <w:color w:val="auto"/>
          <w:kern w:val="0"/>
          <w:sz w:val="24"/>
        </w:rPr>
        <w:t>张</w:t>
      </w:r>
      <w:r>
        <w:rPr>
          <w:rFonts w:hint="eastAsia" w:ascii="宋体" w:hAnsi="宋体" w:cs="宋体"/>
          <w:color w:val="0000FF"/>
          <w:kern w:val="0"/>
          <w:sz w:val="24"/>
        </w:rPr>
        <w:t>，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人工点评之后对以下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50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张处方的不合理情况进行点评考核，处方合格率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85.67</w:t>
      </w: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%。</w:t>
      </w:r>
    </w:p>
    <w:p>
      <w:pPr>
        <w:spacing w:line="240" w:lineRule="atLeast"/>
        <w:rPr>
          <w:rFonts w:hint="eastAsia" w:ascii="宋体" w:hAnsi="宋体" w:cs="宋体"/>
          <w:b/>
          <w:bCs/>
          <w:kern w:val="0"/>
          <w:sz w:val="24"/>
          <w:lang w:val="en-US" w:eastAsia="zh-CN"/>
        </w:rPr>
      </w:pPr>
    </w:p>
    <w:p>
      <w:pPr>
        <w:numPr>
          <w:ilvl w:val="0"/>
          <w:numId w:val="2"/>
        </w:numPr>
        <w:spacing w:line="240" w:lineRule="atLeast"/>
        <w:rPr>
          <w:rFonts w:hint="eastAsia"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分析：本次点评处方存在问题主要如下：</w:t>
      </w:r>
    </w:p>
    <w:p>
      <w:pPr>
        <w:widowControl/>
        <w:numPr>
          <w:ilvl w:val="0"/>
          <w:numId w:val="3"/>
        </w:numPr>
        <w:ind w:leftChars="0"/>
        <w:jc w:val="left"/>
        <w:textAlignment w:val="bottom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2"/>
          <w:szCs w:val="22"/>
          <w:u w:val="none"/>
          <w:lang w:val="en-US" w:eastAsia="zh-CN" w:bidi="ar"/>
        </w:rPr>
        <w:t>用法用量</w:t>
      </w:r>
      <w:r>
        <w:rPr>
          <w:rFonts w:hint="eastAsia" w:ascii="宋体" w:hAnsi="宋体" w:cs="宋体"/>
          <w:color w:val="auto"/>
          <w:kern w:val="0"/>
          <w:sz w:val="24"/>
          <w:lang w:val="en-US" w:eastAsia="zh-CN" w:bidi="ar"/>
        </w:rPr>
        <w:t>：请采用合适的用法用量并注意给药方式。</w:t>
      </w:r>
    </w:p>
    <w:p>
      <w:pPr>
        <w:widowControl/>
        <w:numPr>
          <w:ilvl w:val="0"/>
          <w:numId w:val="3"/>
        </w:numPr>
        <w:ind w:leftChars="0"/>
        <w:jc w:val="left"/>
        <w:textAlignment w:val="bottom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用量：处方不得超过</w:t>
      </w:r>
      <w:r>
        <w:rPr>
          <w:rFonts w:hint="eastAsia" w:ascii="宋体" w:hAnsi="宋体" w:cs="宋体"/>
          <w:kern w:val="0"/>
          <w:sz w:val="24"/>
          <w:lang w:val="en-US" w:eastAsia="zh-CN"/>
        </w:rPr>
        <w:t>30</w:t>
      </w:r>
      <w:r>
        <w:rPr>
          <w:rFonts w:hint="eastAsia" w:ascii="宋体" w:hAnsi="宋体" w:cs="宋体"/>
          <w:kern w:val="0"/>
          <w:sz w:val="24"/>
        </w:rPr>
        <w:t>日用量</w:t>
      </w:r>
      <w:r>
        <w:rPr>
          <w:rFonts w:hint="eastAsia" w:ascii="宋体" w:hAnsi="宋体" w:cs="宋体"/>
          <w:kern w:val="0"/>
          <w:sz w:val="24"/>
          <w:lang w:eastAsia="zh-CN"/>
        </w:rPr>
        <w:t>。</w:t>
      </w:r>
    </w:p>
    <w:p>
      <w:pPr>
        <w:spacing w:line="240" w:lineRule="atLeast"/>
        <w:rPr>
          <w:rFonts w:hint="eastAsia" w:ascii="宋体" w:hAnsi="宋体" w:cs="宋体"/>
          <w:kern w:val="0"/>
          <w:sz w:val="24"/>
        </w:rPr>
      </w:pPr>
    </w:p>
    <w:p>
      <w:pPr>
        <w:spacing w:line="240" w:lineRule="atLeast"/>
        <w:rPr>
          <w:rFonts w:hint="default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六</w:t>
      </w:r>
      <w:r>
        <w:rPr>
          <w:rFonts w:hint="eastAsia" w:ascii="宋体" w:hAnsi="宋体" w:cs="宋体"/>
          <w:b/>
          <w:bCs/>
          <w:kern w:val="0"/>
          <w:sz w:val="24"/>
        </w:rPr>
        <w:t>、不合格处方举例：</w:t>
      </w:r>
    </w:p>
    <w:tbl>
      <w:tblPr>
        <w:tblStyle w:val="2"/>
        <w:tblW w:w="9336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725"/>
        <w:gridCol w:w="720"/>
        <w:gridCol w:w="804"/>
        <w:gridCol w:w="900"/>
        <w:gridCol w:w="48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处方日期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处方号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患者号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科室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医生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点评结果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2024-04-25 10:28:25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10440896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50087022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包益辉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2024-04-25 10:28:25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10440897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50087022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包益辉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2024-04-08 10:54:12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10399047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50007233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包益辉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2024-04-08 10:54:12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10399046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50007233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包益辉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2024-04-07 10:51:43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10396857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50036316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急诊内科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曹英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适应症: 阿奇霉素片，本品适用于敏感菌引起的：呼吸系统、尿道炎和宫颈炎、皮肤软组织等感染；军团菌病、莱姆病、衣原体和支原体感染等，不建议超适应症使用。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2024-04-11 16:20:02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10407135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50042266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皮肤科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陈彩飞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司库奇尤单抗注射液，给药途径不合适，本品宜皮下注射给药。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2024-04-10 16:32:03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10404721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50042266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皮肤科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陈彩飞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司库奇尤单抗注射液，给药途径不合适，本品宜皮下注射给药。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2024-04-28 09:38:15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10447707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50047865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2024-04-27 09:54:25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10445268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50047449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消化内科（专家）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2024-04-17 08:53:13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10420683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50017123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2024-04-29 10:01:33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10450240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50052902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消化内科（专家）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2024-04-27 09:24:08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10445109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50049244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消化内科（专家）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2024-04-27 08:35:14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10444832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50033247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2024-04-24 10:17:18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10438422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50036203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2024-04-24 08:46:00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10437818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50028194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2024-04-22 08:48:14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10432855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50040199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2024-04-21 09:31:49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10430366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50030087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2024-04-20 10:19:48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10428502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50000363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2024-04-19 09:12:31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10425394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50020053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2024-04-19 08:59:02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10425305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50047578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注射用英夫利西单抗，给药途径不适合，本品宜静脉滴注、输液泵滴注给药。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2024-04-22 09:08:01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10433004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50218365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消化内科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段建华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注射用维得利珠单抗，每次给药剂量不合适，本品宜每次300mg给药。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2024-04-05 11:13:09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10392609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50238732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方洁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2024-04-22 11:20:09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10433949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50280303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给药途径: 阿柏西普眼内注射溶液，给药途径不合适，本品仅供玻璃体内注射。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2024-04-24 08:07:28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10437596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50011547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2024-04-24 08:07:28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10437597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50011547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2024-04-22 11:20:09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10433950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50280303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2024-04-17 08:04:19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10420416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50024448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2024-04-17 08:04:19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10420415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50024448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2024-04-17 08:03:25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10420411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50007273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2024-04-17 08:03:25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10420410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50007273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2024-04-10 08:08:10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10402712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50245924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2024-04-10 08:08:10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10402713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50245924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2024-04-08 11:07:20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10399137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50272707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2024-04-08 11:07:20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10399138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50272707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2024-04-08 11:06:50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10399133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50050211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2024-04-08 11:06:49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10399132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50050211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2024-04-01 09:41:50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10381863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50024448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2024-04-01 09:41:50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10381864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50024448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2024-04-23 08:05:53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10435106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50033221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康柏西普眼用注射液，每次给药剂量不合适，本品宜每次0.5mg给药。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2024-04-23 08:05:53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10435105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50033221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胡少丹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康柏西普眼用注射液，每次给药剂量不合适，本品宜每次0.5mg给药。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2024-04-16 09:58:25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10418381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50163929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呼吸内科（专家）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李慧娇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胸腺五肽注射液，处方超过30日用量。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2024-04-26 11:30:42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10443717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50022145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呼吸内科（专家）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李慧娇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胸腺五肽注射液，处方超过30日用量。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2024-04-18 09:13:27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10422971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50071990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风湿病专家门诊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罗桢敏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阿达木单抗注射液，每次给药剂量不合适，本品用于强直性脊柱炎患者宜每次40mg给药。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2024-04-12 16:32:58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10409538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50034782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潘瑜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2024-04-12 16:32:58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10409537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50034782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眼科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潘瑜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用法用量: 阿柏西普眼内注射溶液，每次给药剂量不合适，本品每次宜给药2mg。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2024-04-14 07:42:56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10412216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50188937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风湿病（正高）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王根荣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禁忌症: 艾拉莫德片，患有消化性溃疡的患者，或有消化性溃疡既往史的患者。由于艾拉莫德有可能引起消化性溃疡的不良反应，所以可能会导致原有消化性溃疡进一步恶化。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艾拉莫德片，处方超过30日用量。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2024-04-23 11:24:00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10436186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50212085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风湿病（正高）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王根荣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乌帕替尼缓释片，处方超过30日用量。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2024-04-04 11:44:13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10390038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50262115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脊柱（正高）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韦金忠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特立帕肽注射液，处方超过30日用量。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2024-04-22 10:02:43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10433401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50008433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阿立哌唑片，处方超过30日用量。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3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2024-04-25 15:07:26</w:t>
            </w:r>
          </w:p>
        </w:tc>
        <w:tc>
          <w:tcPr>
            <w:tcW w:w="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10441760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50062967</w:t>
            </w: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全科医学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肖勇</w:t>
            </w:r>
          </w:p>
        </w:tc>
        <w:tc>
          <w:tcPr>
            <w:tcW w:w="48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药品用量超过规定用药天数: 酒石酸美托洛尔片，处方超过30日用量。</w:t>
            </w:r>
          </w:p>
        </w:tc>
      </w:tr>
    </w:tbl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lang w:val="en-US" w:eastAsia="zh-CN"/>
        </w:rPr>
      </w:pP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临床药学室室</w:t>
      </w:r>
    </w:p>
    <w:p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2024年5月20日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FB1D9C"/>
    <w:multiLevelType w:val="singleLevel"/>
    <w:tmpl w:val="94FB1D9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58D030A"/>
    <w:multiLevelType w:val="singleLevel"/>
    <w:tmpl w:val="A58D030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50A50A0"/>
    <w:multiLevelType w:val="singleLevel"/>
    <w:tmpl w:val="450A50A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5YTk2NWU3OTRhNTU0YjZlNWE0ODExMjY4YzM0MTgifQ=="/>
  </w:docVars>
  <w:rsids>
    <w:rsidRoot w:val="71D40A45"/>
    <w:rsid w:val="00313B68"/>
    <w:rsid w:val="0070132D"/>
    <w:rsid w:val="00AC6614"/>
    <w:rsid w:val="00E1669B"/>
    <w:rsid w:val="01E51E47"/>
    <w:rsid w:val="02971350"/>
    <w:rsid w:val="02F834C3"/>
    <w:rsid w:val="033D01B7"/>
    <w:rsid w:val="038D51FF"/>
    <w:rsid w:val="04515B4E"/>
    <w:rsid w:val="05154417"/>
    <w:rsid w:val="051C4B47"/>
    <w:rsid w:val="056930E1"/>
    <w:rsid w:val="056D277C"/>
    <w:rsid w:val="05913C80"/>
    <w:rsid w:val="065B4E27"/>
    <w:rsid w:val="07173020"/>
    <w:rsid w:val="072100F0"/>
    <w:rsid w:val="08017351"/>
    <w:rsid w:val="08A52F15"/>
    <w:rsid w:val="092F562C"/>
    <w:rsid w:val="09401438"/>
    <w:rsid w:val="09B50CE4"/>
    <w:rsid w:val="09E9758B"/>
    <w:rsid w:val="0AB1434A"/>
    <w:rsid w:val="0AC87CEF"/>
    <w:rsid w:val="0ACD3FE6"/>
    <w:rsid w:val="0C297FBF"/>
    <w:rsid w:val="0CF77927"/>
    <w:rsid w:val="0E0B47C9"/>
    <w:rsid w:val="0FA820B8"/>
    <w:rsid w:val="0FFE02D1"/>
    <w:rsid w:val="10111A91"/>
    <w:rsid w:val="10FF1B93"/>
    <w:rsid w:val="113509A4"/>
    <w:rsid w:val="11657F33"/>
    <w:rsid w:val="11AA5DE0"/>
    <w:rsid w:val="12047B5C"/>
    <w:rsid w:val="13A23F30"/>
    <w:rsid w:val="153B3323"/>
    <w:rsid w:val="16005D04"/>
    <w:rsid w:val="16124680"/>
    <w:rsid w:val="162C073C"/>
    <w:rsid w:val="163D4862"/>
    <w:rsid w:val="16D23887"/>
    <w:rsid w:val="17654071"/>
    <w:rsid w:val="17852EB9"/>
    <w:rsid w:val="183A4A17"/>
    <w:rsid w:val="19762565"/>
    <w:rsid w:val="19804F81"/>
    <w:rsid w:val="19EA2CB8"/>
    <w:rsid w:val="19FC1BCA"/>
    <w:rsid w:val="1A136672"/>
    <w:rsid w:val="1A9E7608"/>
    <w:rsid w:val="1AC60AB1"/>
    <w:rsid w:val="1AE30A23"/>
    <w:rsid w:val="1B010DF0"/>
    <w:rsid w:val="1B2B4413"/>
    <w:rsid w:val="1B6C54F1"/>
    <w:rsid w:val="1B7C4935"/>
    <w:rsid w:val="1BE64255"/>
    <w:rsid w:val="1C22729F"/>
    <w:rsid w:val="1C586CCB"/>
    <w:rsid w:val="1D8A73FC"/>
    <w:rsid w:val="1D8C7563"/>
    <w:rsid w:val="1DD957B9"/>
    <w:rsid w:val="1E6E4D6B"/>
    <w:rsid w:val="1EA307B4"/>
    <w:rsid w:val="1ED90E1F"/>
    <w:rsid w:val="1EDF1787"/>
    <w:rsid w:val="1F9A4A0D"/>
    <w:rsid w:val="20AD412B"/>
    <w:rsid w:val="20FB6266"/>
    <w:rsid w:val="212A11F0"/>
    <w:rsid w:val="22A15B5C"/>
    <w:rsid w:val="234A27A9"/>
    <w:rsid w:val="237F2F12"/>
    <w:rsid w:val="24106B7C"/>
    <w:rsid w:val="24A23647"/>
    <w:rsid w:val="260526FE"/>
    <w:rsid w:val="261635C5"/>
    <w:rsid w:val="269841F6"/>
    <w:rsid w:val="273B2923"/>
    <w:rsid w:val="2858276B"/>
    <w:rsid w:val="28927D29"/>
    <w:rsid w:val="2BAC3F31"/>
    <w:rsid w:val="2D9947BD"/>
    <w:rsid w:val="2D9A142F"/>
    <w:rsid w:val="2DDD04BE"/>
    <w:rsid w:val="2E582ED9"/>
    <w:rsid w:val="2E781AB8"/>
    <w:rsid w:val="2EB73DDA"/>
    <w:rsid w:val="2F452060"/>
    <w:rsid w:val="2FDD44DF"/>
    <w:rsid w:val="30617880"/>
    <w:rsid w:val="31056946"/>
    <w:rsid w:val="31F03681"/>
    <w:rsid w:val="32B1065A"/>
    <w:rsid w:val="32C920E8"/>
    <w:rsid w:val="331A19AE"/>
    <w:rsid w:val="335E14A7"/>
    <w:rsid w:val="336B3702"/>
    <w:rsid w:val="33CB5542"/>
    <w:rsid w:val="33EB73CB"/>
    <w:rsid w:val="351756EF"/>
    <w:rsid w:val="3577607E"/>
    <w:rsid w:val="3612105F"/>
    <w:rsid w:val="366174E9"/>
    <w:rsid w:val="369C22BF"/>
    <w:rsid w:val="3862042D"/>
    <w:rsid w:val="38D5185E"/>
    <w:rsid w:val="391D260E"/>
    <w:rsid w:val="3973751E"/>
    <w:rsid w:val="39990AF4"/>
    <w:rsid w:val="3B3E2416"/>
    <w:rsid w:val="3B686D34"/>
    <w:rsid w:val="3B687134"/>
    <w:rsid w:val="3B864625"/>
    <w:rsid w:val="3B9F0E77"/>
    <w:rsid w:val="3BB11899"/>
    <w:rsid w:val="3C625633"/>
    <w:rsid w:val="3CD777E0"/>
    <w:rsid w:val="3DCE6915"/>
    <w:rsid w:val="3E0A6467"/>
    <w:rsid w:val="3E1B66BF"/>
    <w:rsid w:val="3E4012AA"/>
    <w:rsid w:val="3EAC20C5"/>
    <w:rsid w:val="3EF16AD3"/>
    <w:rsid w:val="408375A9"/>
    <w:rsid w:val="41D56429"/>
    <w:rsid w:val="43055AE3"/>
    <w:rsid w:val="43445F02"/>
    <w:rsid w:val="44A12290"/>
    <w:rsid w:val="454772F5"/>
    <w:rsid w:val="4629430D"/>
    <w:rsid w:val="46B5501D"/>
    <w:rsid w:val="47530C73"/>
    <w:rsid w:val="47A901F3"/>
    <w:rsid w:val="47AB64AE"/>
    <w:rsid w:val="47CC7A22"/>
    <w:rsid w:val="485F6737"/>
    <w:rsid w:val="48A12C34"/>
    <w:rsid w:val="49102B50"/>
    <w:rsid w:val="49E538D1"/>
    <w:rsid w:val="49F87F2C"/>
    <w:rsid w:val="4A24126D"/>
    <w:rsid w:val="4A722B9F"/>
    <w:rsid w:val="4B8B0EE3"/>
    <w:rsid w:val="4BBF2974"/>
    <w:rsid w:val="4BC0530D"/>
    <w:rsid w:val="4C0B5EC0"/>
    <w:rsid w:val="4C2E30F6"/>
    <w:rsid w:val="4C843EA2"/>
    <w:rsid w:val="4CB21E9B"/>
    <w:rsid w:val="4CF71A7E"/>
    <w:rsid w:val="4D457389"/>
    <w:rsid w:val="4D8E20DE"/>
    <w:rsid w:val="4DCB78CE"/>
    <w:rsid w:val="4E600701"/>
    <w:rsid w:val="4F8A0F9E"/>
    <w:rsid w:val="4FB165FD"/>
    <w:rsid w:val="507A6C4D"/>
    <w:rsid w:val="50CA2BBB"/>
    <w:rsid w:val="52994922"/>
    <w:rsid w:val="52D13C5E"/>
    <w:rsid w:val="531E5F03"/>
    <w:rsid w:val="53207D0D"/>
    <w:rsid w:val="543A266C"/>
    <w:rsid w:val="54A92EF5"/>
    <w:rsid w:val="57132126"/>
    <w:rsid w:val="578D4AC5"/>
    <w:rsid w:val="57A4331E"/>
    <w:rsid w:val="57FE6189"/>
    <w:rsid w:val="58690F0C"/>
    <w:rsid w:val="58D72319"/>
    <w:rsid w:val="59196486"/>
    <w:rsid w:val="5A1336BF"/>
    <w:rsid w:val="5A2C4E54"/>
    <w:rsid w:val="5A921D4D"/>
    <w:rsid w:val="5AB54A54"/>
    <w:rsid w:val="5ABE74A5"/>
    <w:rsid w:val="5B1438BC"/>
    <w:rsid w:val="5BDD3026"/>
    <w:rsid w:val="5D8E5D2E"/>
    <w:rsid w:val="5DE2383B"/>
    <w:rsid w:val="5EF22348"/>
    <w:rsid w:val="5FA0782B"/>
    <w:rsid w:val="5FA41758"/>
    <w:rsid w:val="5FAA4777"/>
    <w:rsid w:val="5FBC5874"/>
    <w:rsid w:val="602C7538"/>
    <w:rsid w:val="60413E55"/>
    <w:rsid w:val="60A07AE1"/>
    <w:rsid w:val="612E6FF4"/>
    <w:rsid w:val="6142679E"/>
    <w:rsid w:val="61A53ACB"/>
    <w:rsid w:val="620D64E4"/>
    <w:rsid w:val="621B1D3E"/>
    <w:rsid w:val="625264C1"/>
    <w:rsid w:val="62A425DE"/>
    <w:rsid w:val="63BB49CD"/>
    <w:rsid w:val="643B5375"/>
    <w:rsid w:val="648D3834"/>
    <w:rsid w:val="64C0348C"/>
    <w:rsid w:val="652D28BA"/>
    <w:rsid w:val="65441338"/>
    <w:rsid w:val="65B56ACC"/>
    <w:rsid w:val="6694250C"/>
    <w:rsid w:val="67160170"/>
    <w:rsid w:val="677B5F38"/>
    <w:rsid w:val="67E22A15"/>
    <w:rsid w:val="68164583"/>
    <w:rsid w:val="686876AD"/>
    <w:rsid w:val="6882131E"/>
    <w:rsid w:val="689C5480"/>
    <w:rsid w:val="69180AC8"/>
    <w:rsid w:val="6A9869C6"/>
    <w:rsid w:val="6B7D4A0A"/>
    <w:rsid w:val="6BBB5DF6"/>
    <w:rsid w:val="6BC71775"/>
    <w:rsid w:val="6C090D72"/>
    <w:rsid w:val="6C2C19C7"/>
    <w:rsid w:val="6C5B1FD3"/>
    <w:rsid w:val="6C983716"/>
    <w:rsid w:val="6CDA5ADC"/>
    <w:rsid w:val="6DA640FF"/>
    <w:rsid w:val="6E852B4E"/>
    <w:rsid w:val="6E9956EB"/>
    <w:rsid w:val="6F112D1F"/>
    <w:rsid w:val="6FA92086"/>
    <w:rsid w:val="6FF622F8"/>
    <w:rsid w:val="70785009"/>
    <w:rsid w:val="719175A8"/>
    <w:rsid w:val="71D40A45"/>
    <w:rsid w:val="71F36DCF"/>
    <w:rsid w:val="72924202"/>
    <w:rsid w:val="73440F30"/>
    <w:rsid w:val="73800C14"/>
    <w:rsid w:val="739336A0"/>
    <w:rsid w:val="73B17C30"/>
    <w:rsid w:val="75257CC9"/>
    <w:rsid w:val="75AE5679"/>
    <w:rsid w:val="76010AB3"/>
    <w:rsid w:val="76544B51"/>
    <w:rsid w:val="76ED6462"/>
    <w:rsid w:val="78AD08B8"/>
    <w:rsid w:val="794A6A15"/>
    <w:rsid w:val="79A31E15"/>
    <w:rsid w:val="7AA939A7"/>
    <w:rsid w:val="7AE10B06"/>
    <w:rsid w:val="7B246866"/>
    <w:rsid w:val="7D2F1BB7"/>
    <w:rsid w:val="7D4672A0"/>
    <w:rsid w:val="7D52727E"/>
    <w:rsid w:val="7E006F24"/>
    <w:rsid w:val="7E22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2700</Words>
  <Characters>3675</Characters>
  <Lines>0</Lines>
  <Paragraphs>0</Paragraphs>
  <TotalTime>44</TotalTime>
  <ScaleCrop>false</ScaleCrop>
  <LinksUpToDate>false</LinksUpToDate>
  <CharactersWithSpaces>3775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2023-09-06T08:47:00Z</dcterms:created>
  <dc:creator>郭</dc:creator>
  <cp:lastModifiedBy>徐洪锋</cp:lastModifiedBy>
  <dcterms:modified xsi:type="dcterms:W3CDTF">2024-05-20T07:59:29Z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A15F1DC0719D4EDBB62459BEC2CE1B87_11</vt:lpwstr>
  </property>
</Properties>
</file>