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</w:rPr>
        <w:t>绍兴市</w:t>
      </w: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34"/>
          <w:szCs w:val="34"/>
          <w:bdr w:val="none" w:color="auto" w:sz="0" w:space="0"/>
        </w:rPr>
        <w:t>“枫桥经验”传承发展条例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ascii="楷体_GB2312" w:hAnsi="微软雅黑" w:eastAsia="楷体_GB2312" w:cs="楷体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楷体_GB2312" w:hAnsi="微软雅黑" w:eastAsia="楷体_GB2312" w:cs="楷体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（</w:t>
      </w:r>
      <w:r>
        <w:rPr>
          <w:rFonts w:hint="default" w:ascii="Times New Roman" w:hAnsi="Times New Roman" w:eastAsia="楷体_GB2312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2022</w:t>
      </w:r>
      <w:r>
        <w:rPr>
          <w:rFonts w:hint="default" w:ascii="楷体_GB2312" w:hAnsi="微软雅黑" w:eastAsia="楷体_GB2312" w:cs="楷体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年</w:t>
      </w:r>
      <w:r>
        <w:rPr>
          <w:rFonts w:hint="default" w:ascii="Times New Roman" w:hAnsi="Times New Roman" w:eastAsia="楷体_GB2312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8</w:t>
      </w:r>
      <w:r>
        <w:rPr>
          <w:rFonts w:hint="default" w:ascii="楷体_GB2312" w:hAnsi="微软雅黑" w:eastAsia="楷体_GB2312" w:cs="楷体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月</w:t>
      </w:r>
      <w:r>
        <w:rPr>
          <w:rFonts w:hint="default" w:ascii="Times New Roman" w:hAnsi="Times New Roman" w:eastAsia="楷体_GB2312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31</w:t>
      </w:r>
      <w:r>
        <w:rPr>
          <w:rFonts w:hint="default" w:ascii="楷体_GB2312" w:hAnsi="微软雅黑" w:eastAsia="楷体_GB2312" w:cs="楷体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日绍兴市第九届人民代表大会常务委员会第五次会议通过  </w:t>
      </w:r>
      <w:r>
        <w:rPr>
          <w:rFonts w:hint="default" w:ascii="Times New Roman" w:hAnsi="Times New Roman" w:eastAsia="楷体_GB2312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2022</w:t>
      </w:r>
      <w:r>
        <w:rPr>
          <w:rFonts w:hint="default" w:ascii="楷体_GB2312" w:hAnsi="微软雅黑" w:eastAsia="楷体_GB2312" w:cs="楷体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年</w:t>
      </w:r>
      <w:r>
        <w:rPr>
          <w:rFonts w:hint="default" w:ascii="Times New Roman" w:hAnsi="Times New Roman" w:eastAsia="楷体_GB2312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9</w:t>
      </w:r>
      <w:r>
        <w:rPr>
          <w:rFonts w:hint="default" w:ascii="楷体_GB2312" w:hAnsi="微软雅黑" w:eastAsia="楷体_GB2312" w:cs="楷体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月</w:t>
      </w:r>
      <w:r>
        <w:rPr>
          <w:rFonts w:hint="default" w:ascii="Times New Roman" w:hAnsi="Times New Roman" w:eastAsia="楷体_GB2312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29</w:t>
      </w:r>
      <w:r>
        <w:rPr>
          <w:rFonts w:hint="default" w:ascii="楷体_GB2312" w:hAnsi="微软雅黑" w:eastAsia="楷体_GB2312" w:cs="楷体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日浙江省第十三届人民代表大会常务委员会第三十八次会议批准）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第一条</w:t>
      </w: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  </w:t>
      </w: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为了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传承发展“枫桥经验”，在高质量发展中推进共同富裕和市域现代化，根据有关法律、法规，结合本市实际，制定本条例。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第二条  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本市行政区域内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枫桥经验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传承发展及其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相关工作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，适用本条例。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第三条  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本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条例所称“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枫桥经验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”，是指源于二十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世纪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六十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年代初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由诸暨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枫桥干部群众创造的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化解矛盾的工作方法，其内涵是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坚持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和贯彻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党的群众路线，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在党的领导下，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充分发动群众、组织群众、依靠群众解决群众自己的事情，做到小事不出村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、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大事不出镇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、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矛盾不上交。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传承发展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枫桥经验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，应当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结合本地历史文化传统、经济社会发展实际，守正创新，与时俱进，坚持和发展新时代“枫桥经验”，践行以人民为中心的发展思想，贯彻全过程人民民主理念，做到系统治理、依法治理、综合治理、源头治理，推进基层社会治理现代化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第四条  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市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、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县（市、区）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枫桥经验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传承发展领导机构组织协调、指导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推动“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枫桥经验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传承发展工作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，做好下列工作：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（一）编制规划和制定工作计划，研究“枫桥经验”传承发展重大问题；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（二）组织开展理论研究、文化交流和宣传教育；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（三）组织开展考核评估、品牌建设和表彰奖励工作；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（四）其他“枫桥经验”传承发展相关工作。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枫桥经验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传承发展领导机构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各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成员单位按照职责开展相关工作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，其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办事机构负责日常工作。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第五条  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市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、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县（市、区）人民政府应当将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枫桥经验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传承发展纳入国民经济和社会发展规划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纲要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完善工作落实机制，建立基层创新激励制度，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并将相关经费列入同级财政预算。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乡镇人民政府、街道办事处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按照职责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做好辖区内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枫桥经验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传承发展工作。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村（居）民委员会协助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乡镇人民政府、街道办事处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开展“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枫桥经验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传承发展工作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第六条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鼓励、支持、引导公民、法人以及其他组织依法有序参与“枫桥经验”传承发展工作。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第七条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各级人民政府和有关部门应当健全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驻村指导员制度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，建立驻村（社区）指导员、驻企服务员常态化联系服务机制。驻村（社区）指导员、驻企服务员应当主动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了解所驻村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（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社区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）、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企业情况，及时处置群众、企业反映的困难和问题。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  <w:shd w:val="clear" w:fill="FFFFFF"/>
        </w:rPr>
        <w:t>第八条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各级人民政府和有关部门应当健全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民情日记制度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，建立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民情收集、上报、交办、反馈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闭环机制，加强社情民意分析研判，及时处理民意诉求，增强服务群众工作能力，提高精准化服务水平。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第九条  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各级人民政府和有关部门应当为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健全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社区党建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契约化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共建制度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提供保障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引导共建单位发挥各自优势，建立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需求、资源、项目清单双向认领服务机制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，统筹解决民生需求，促进共建共治共享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第十条  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村（居）民委员会应当依法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指导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完善村民自治章程、村规民约、居民公约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、业主管理规约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等行为准则，落实涉村（社区）工作清单制度，按照重大事项决议公开、结果公开要求，促进村（居）民自治。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行业协会、商会等社会组织应当健全完善行业自律规范、职业道德准则、会员章程，加强行业自律和行业信用管理。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各类市场主体应当遵纪守法、诚实守信，自觉履约践诺，主动参与社会治理，履行社会责任。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第十一条  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各级人民政府和有关部门应当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组织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开展民主法治村（社区）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建设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弘扬梁柏台红色法治文化，培育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村（社区）法治带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头人和法律明白人，健全村（社区）法律顾问制度，推进基层治理法治化。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各级人民政府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和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有关部门应当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健全完善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公共法律服务体系，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合理配置公共法律服务资源，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提升公共法律服务能力和水平。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第十二条  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各级人民政府和有关部门应当以社会主义核心价值观为引领，加强精神文明建设和思想道德建设，弘扬孝德文化、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乡贤文化、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诚信文化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、廉洁文化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等优秀传统文化，培育文明乡风、良好家风、淳朴民风，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提升群众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精神面貌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和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社会文明程度。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第十三条  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各级人民政府和有关部门应当按照数字化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发展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要求，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完善基层社会治理数据归集共享机制，迭代优化基层智治应用场景，加强乡镇街道党建统领、经济生态、平安法治、公共服务平台建设，推动相关数据跨部门、跨区域、跨层级汇聚融合和分析应用，构建完善新时代“枫桥经验”指数指标体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  <w:shd w:val="clear" w:fill="FFFFFF"/>
        </w:rPr>
        <w:t>第十四条  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市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、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县（市、区）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基层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网格工作主管部门按照国家和省有关规定，制定基层网格划分设置、人员配置、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职能职责、教育培训、考核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管理等办法，建立网格事项准入、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事项流转、闭环处置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等机制，推进基层网格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系统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化、标准化建设，提升网格治理效能。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第十五条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各级人民政府和有关部门应当完善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矛盾纠纷多元预防调处化解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综合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机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制，加强县级社会治理中心建设，建立健全人民调解、行政调解、司法调解联动工作体系，培育行业性、专业性民间调解组织，依法及时化解矛盾纠纷。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充分发挥人大代表、政协委员在矛盾多元化解中的桥梁纽带作用，加强人大代表联络站、政协民生议事堂规范化建设，听取群众诉求，回应群众关切。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  <w:shd w:val="clear" w:fill="FFFFFF"/>
        </w:rPr>
        <w:t>第十六条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各级人民政府和有关部门应当依照各自职责，做好社区矫正、社区戒毒社区康复、刑满释放人员帮扶和失信主体信用修复等工作，保障相关人员及其子女依法享有的人身权利、财产权利和其他权利不受侵犯，在就业、就学和享受社会保障等方面不受歧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各级人民政府和有关部门应当采取措施，支持专业组织、机构在农村和城市社区开展社会心理服务，为村民和居民提供精神慰藉、心理疏导、关系调适、社会融入等服务。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第十七条  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各级人民政府和有关部门应当建立和完善社会风险防控工作体系，形成监测、预警、处置和反馈的风险闭环管控机制，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全面落实重大决策社会风险评估制度，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精准、高效防范和处置社会风险。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第十八条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各级人民政府和有关部门应当按照传承发展“枫桥经验”的实际需要，加强人才培养和队伍建设，提高专业素养和能力。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第十九条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宣传、文化、档案等部门和党史、社科、党校、高等学校等机构应当组织开展“枫桥经验”理论研究和对外交流，梳理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挖掘“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枫桥经验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历史渊源、发展脉络、思想内涵和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时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代价值，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加强文献档案、口述资料收集整理和利用研究，提升“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枫桥经验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理论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水平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，加快优秀研究成果转化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运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第二十条  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党校、干部教育培训机构应当将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枫桥经验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纳入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主体班次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教学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计划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组织开展教学活动。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高等学校、中小学校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应当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组织开展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传承发展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枫桥经验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相关活动，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赓续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优秀传统文化。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第二十一条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各级人民政府和有关部门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应当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加强“枫桥经验”宣传工作，拓展渠道，丰富形式，提高“枫桥经验”知晓度和影响力。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广播、电视、报刊、网站等媒体应当通过新闻报道、专题专栏、公益广告等方式，传播推广“枫桥经验”。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第二十二条  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鼓励各类文化团体、文艺工作者、文化场所经营单位开展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枫桥经验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主题文艺作品创作、展演展映等活动。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第二十三条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市人民政府和有关部门应当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加强枫桥学院、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枫桥经验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陈列馆建设，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开发“枫桥经验”品牌标识、研学线路等，建成教育培训、宣传展示和交流研讨的重要基地。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第二十四条  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每年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11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月为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“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枫桥经验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”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宣传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月</w:t>
      </w:r>
      <w:r>
        <w:rPr>
          <w:rFonts w:hint="default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第二十五条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任何单位和个人都有依法保护“枫桥经验”的义务，对破坏、损毁“枫桥经验”文化物质资源和歪曲、丑化、亵渎、否定“枫桥经验”的行为进行劝阻、举报。受理举报的有关部门应当及时依法查处。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68" w:lineRule="atLeast"/>
        <w:ind w:left="0" w:right="0" w:firstLine="51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第二十六条  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本条例自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2022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年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11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月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1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日起施行。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9C14B5"/>
    <w:rsid w:val="669C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2024-11-19T01:58:00Z</dcterms:created>
  <dc:creator>夏雪</dc:creator>
  <cp:lastModifiedBy>夏雪</cp:lastModifiedBy>
  <dcterms:modified xsi:type="dcterms:W3CDTF">2024-11-19T01:58:34Z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