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both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3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何月利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绍兴市中医院院感管理科科长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202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年度着重抓了以下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项工作：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一是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完善管理体系，强化制度执行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依据最新法规和标准，修订 12 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个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重点科室的感染管理评价与考核标准，完善多项相关制度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，确保各项工作有章可循、有据可依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在人员架构上，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重新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组建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院感兼职人员队伍共计61人，其中感控医生23人，感控护士34人，感控技师4人。调整医院感染管理委员会成员，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发挥三级督导职能，定期督查全院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科室，全年共发现问题 496 条，整改 446 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二是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深化培训演练，提升防控能力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采用线上线下相结合的多元化方式，组织全院医务人员参加感控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及生物安全知识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培训。全年开展线上培训 4 场，培训 2260 余人次；线下培训 10 场，培训 800 余人次。完成全院医务人员手卫生操作考核，抽考成绩优异。同时，组织职业暴露、化学危害物溢洒等 2 场应急演练，有效增强了全员防控意识与应急处置能力。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三是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严格指标把控，保障医疗安全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环境与物品监测：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从多维度发力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常规开展多项环境卫生学监测。空气、物体表面、医务人员手卫生等监测合格率均维持在较高水平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感染指标管理：每月完成 ICU 三管、手术部位感染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、多重耐药菌监测及防控措施落实合格率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等多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项多类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监测。各项院感管理质量控制指标均达标，医院感染率、例次感染率呈下降趋势，Ⅰ类切口手术感染发生率为 0%，院感漏报率为 0%。中医诊疗防控：落实中医感染防控操作规程，常态督查中医诊疗操作，发现问题及时整改，有效降低了中医诊疗操作感染风险。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扩建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风险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管控：医院扩建区落成后，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重点科室、重点部门、重点环节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内部流程</w:t>
            </w:r>
            <w:r>
              <w:rPr>
                <w:rFonts w:hint="eastAsia" w:ascii="仿宋_GB2312" w:hAnsi="仿宋_GB2312" w:cs="仿宋_GB2312"/>
                <w:sz w:val="28"/>
                <w:szCs w:val="28"/>
                <w:lang w:eastAsia="zh-CN"/>
              </w:rPr>
              <w:t>进行风险排查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，对不符合感控要求的，形成问题清单交付相关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部门，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督促落实整改。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 月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6961A8A"/>
    <w:rsid w:val="283E64A7"/>
    <w:rsid w:val="288C369A"/>
    <w:rsid w:val="34F23F33"/>
    <w:rsid w:val="3C745370"/>
    <w:rsid w:val="3CEA3BB5"/>
    <w:rsid w:val="6937409B"/>
    <w:rsid w:val="73F05188"/>
    <w:rsid w:val="769E5512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30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9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20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2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annotation subject"/>
    <w:basedOn w:val="2"/>
    <w:next w:val="2"/>
    <w:link w:val="21"/>
    <w:semiHidden/>
    <w:unhideWhenUsed/>
    <w:qFormat/>
    <w:uiPriority w:val="0"/>
    <w:rPr>
      <w:b/>
      <w:bCs/>
    </w:rPr>
  </w:style>
  <w:style w:type="paragraph" w:styleId="11">
    <w:name w:val="Body Text First Indent 2"/>
    <w:basedOn w:val="4"/>
    <w:qFormat/>
    <w:uiPriority w:val="0"/>
    <w:pPr>
      <w:ind w:firstLine="420"/>
    </w:pPr>
  </w:style>
  <w:style w:type="table" w:styleId="13">
    <w:name w:val="Table Grid"/>
    <w:basedOn w:val="12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批注文字 Char"/>
    <w:basedOn w:val="14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6">
    <w:name w:val="页眉 Char"/>
    <w:basedOn w:val="14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8">
    <w:name w:val="页脚 Char"/>
    <w:basedOn w:val="1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9">
    <w:name w:val="正文文本缩进 Char"/>
    <w:basedOn w:val="14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20">
    <w:name w:val="日期 Char"/>
    <w:basedOn w:val="14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1">
    <w:name w:val="批注主题 Char"/>
    <w:basedOn w:val="15"/>
    <w:link w:val="10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2">
    <w:name w:val="批注框文本 Char"/>
    <w:basedOn w:val="14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3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4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5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6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7">
    <w:name w:val="font101"/>
    <w:basedOn w:val="1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8">
    <w:name w:val="font111"/>
    <w:basedOn w:val="14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9">
    <w:name w:val="font71"/>
    <w:basedOn w:val="14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30">
    <w:name w:val="正文文本 Char"/>
    <w:basedOn w:val="14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2</Pages>
  <Words>779</Words>
  <Characters>813</Characters>
  <Lines>60</Lines>
  <Paragraphs>17</Paragraphs>
  <TotalTime>1</TotalTime>
  <ScaleCrop>false</ScaleCrop>
  <LinksUpToDate>false</LinksUpToDate>
  <CharactersWithSpaces>954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2025-01-21T00:29:30Z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eyJoZGlkIjoiODA2Y2I3ZjVhYzhmNTA4OGZiODVhMTYzYzhjZGM0NWIiLCJ1c2VySWQiOiIzMTQxNjcxNzcifQ==</vt:lpwstr>
  </property>
  <property fmtid="{D5CDD505-2E9C-101B-9397-08002B2CF9AE}" pid="4" name="ICV">
    <vt:lpwstr>00D82733583B4206B0DF39A55DC59A1B_12</vt:lpwstr>
  </property>
</Properties>
</file>