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eastAsia="zh-CN"/>
              </w:rPr>
            </w:pPr>
            <w:r>
              <w:rPr>
                <w:rFonts w:hint="eastAsia" w:ascii="仿宋_GB2312" w:hAnsi="Calibri"/>
                <w:b/>
                <w:bCs/>
                <w:kern w:val="0"/>
                <w:szCs w:val="32"/>
                <w:lang w:eastAsia="zh-CN"/>
              </w:rPr>
              <w:t>周杨芳</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eastAsia="zh-CN"/>
              </w:rPr>
            </w:pPr>
            <w:r>
              <w:rPr>
                <w:rFonts w:hint="eastAsia" w:ascii="仿宋_GB2312" w:hAnsi="Calibri"/>
                <w:b/>
                <w:bCs/>
                <w:kern w:val="0"/>
                <w:szCs w:val="32"/>
                <w:lang w:eastAsia="zh-CN"/>
              </w:rPr>
              <w:t>绍兴市中医院</w:t>
            </w:r>
            <w:r>
              <w:rPr>
                <w:rFonts w:hint="eastAsia" w:ascii="仿宋_GB2312" w:hAnsi="Calibri"/>
                <w:b/>
                <w:bCs/>
                <w:kern w:val="0"/>
                <w:szCs w:val="32"/>
                <w:lang w:val="en-US" w:eastAsia="zh-CN"/>
              </w:rPr>
              <w:t>纪检监察室（内审科）副主任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keepNext w:val="0"/>
              <w:keepLines w:val="0"/>
              <w:pageBreakBefore w:val="0"/>
              <w:kinsoku/>
              <w:wordWrap/>
              <w:overflowPunct/>
              <w:topLinePunct w:val="0"/>
              <w:autoSpaceDE w:val="0"/>
              <w:autoSpaceDN/>
              <w:bidi w:val="0"/>
              <w:adjustRightInd/>
              <w:snapToGrid/>
              <w:spacing w:line="500" w:lineRule="exact"/>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202</w:t>
            </w:r>
            <w:r>
              <w:rPr>
                <w:rFonts w:hint="eastAsia" w:ascii="仿宋_GB2312" w:hAnsi="仿宋_GB2312" w:eastAsia="仿宋_GB2312" w:cs="仿宋_GB2312"/>
                <w:kern w:val="0"/>
                <w:sz w:val="28"/>
                <w:szCs w:val="28"/>
                <w:lang w:val="en-US" w:eastAsia="zh-CN"/>
              </w:rPr>
              <w:t>4</w:t>
            </w:r>
            <w:r>
              <w:rPr>
                <w:rFonts w:hint="eastAsia" w:ascii="仿宋_GB2312" w:hAnsi="仿宋_GB2312" w:eastAsia="仿宋_GB2312" w:cs="仿宋_GB2312"/>
                <w:kern w:val="0"/>
                <w:sz w:val="28"/>
                <w:szCs w:val="28"/>
              </w:rPr>
              <w:t>年度着重抓了以下</w:t>
            </w:r>
            <w:r>
              <w:rPr>
                <w:rFonts w:hint="eastAsia" w:ascii="仿宋_GB2312" w:hAnsi="仿宋_GB2312" w:eastAsia="仿宋_GB2312" w:cs="仿宋_GB2312"/>
                <w:kern w:val="0"/>
                <w:sz w:val="28"/>
                <w:szCs w:val="28"/>
                <w:lang w:eastAsia="zh-CN"/>
              </w:rPr>
              <w:t>三</w:t>
            </w:r>
            <w:r>
              <w:rPr>
                <w:rFonts w:hint="eastAsia" w:ascii="仿宋_GB2312" w:hAnsi="仿宋_GB2312" w:eastAsia="仿宋_GB2312" w:cs="仿宋_GB2312"/>
                <w:kern w:val="0"/>
                <w:sz w:val="28"/>
                <w:szCs w:val="28"/>
              </w:rPr>
              <w:t>项工作：</w:t>
            </w:r>
          </w:p>
          <w:p>
            <w:pPr>
              <w:pStyle w:val="6"/>
              <w:keepNext w:val="0"/>
              <w:keepLines w:val="0"/>
              <w:pageBreakBefore w:val="0"/>
              <w:widowControl/>
              <w:kinsoku/>
              <w:wordWrap/>
              <w:overflowPunct/>
              <w:topLinePunct w:val="0"/>
              <w:autoSpaceDE w:val="0"/>
              <w:autoSpaceDN/>
              <w:bidi w:val="0"/>
              <w:adjustRightInd/>
              <w:snapToGrid/>
              <w:spacing w:after="0" w:line="500" w:lineRule="exact"/>
              <w:ind w:left="0" w:leftChars="0" w:right="0" w:firstLine="560" w:firstLineChars="200"/>
              <w:textAlignment w:val="auto"/>
              <w:rPr>
                <w:rFonts w:hint="eastAsia" w:ascii="仿宋_GB2312"/>
                <w:kern w:val="0"/>
                <w:sz w:val="28"/>
                <w:szCs w:val="28"/>
              </w:rPr>
            </w:pPr>
            <w:r>
              <w:rPr>
                <w:rFonts w:hint="eastAsia" w:ascii="仿宋_GB2312" w:hAnsi="仿宋_GB2312" w:eastAsia="仿宋_GB2312" w:cs="仿宋_GB2312"/>
                <w:kern w:val="0"/>
                <w:sz w:val="28"/>
                <w:szCs w:val="28"/>
                <w:lang w:val="en-US" w:eastAsia="zh-CN" w:bidi="ar-SA"/>
              </w:rPr>
              <w:t>一是</w:t>
            </w:r>
            <w:r>
              <w:rPr>
                <w:rFonts w:hint="eastAsia" w:ascii="仿宋_GB2312" w:hAnsi="仿宋_GB2312" w:eastAsia="仿宋_GB2312" w:cs="仿宋_GB2312"/>
                <w:kern w:val="0"/>
                <w:sz w:val="28"/>
                <w:szCs w:val="28"/>
                <w:lang w:val="en-US" w:eastAsia="en-US" w:bidi="ar-SA"/>
              </w:rPr>
              <w:t>开展日常廉洁警示。</w:t>
            </w:r>
            <w:r>
              <w:rPr>
                <w:rFonts w:hint="eastAsia" w:ascii="仿宋_GB2312" w:hAnsi="仿宋_GB2312" w:eastAsia="仿宋_GB2312" w:cs="仿宋_GB2312"/>
                <w:kern w:val="0"/>
                <w:sz w:val="28"/>
                <w:szCs w:val="28"/>
                <w:lang w:val="en-US" w:eastAsia="zh-CN" w:bidi="ar-SA"/>
              </w:rPr>
              <w:t>为切实提高党员干部的纪法意识和拒腐防变能力，制定《绍兴市中医院“会前一刻钟”微廉课制度》,2024年医保办、医务科等6个科室分别从《安全规范用基金  守好人民“看病钱”》、《规范线上诊疗服务 加强廉洁风险防控》等方面着手，根据日常工作运行中的典型案例结合医院运行情况开展针对性的讲解，开具“廉洁处方”；开展节前“1+X” 专项督查，发布4期节前廉洁提醒；开展“双违”自查。推动全院干部职工把崇廉思想内化于心、外化于行。根据2024年内部审计工作计划，以“同心联动”模式，对10个内部审计项目进行专项审计，通过以问题倒逼责任落实，强化整改结果运用。</w:t>
            </w:r>
            <w:r>
              <w:rPr>
                <w:rFonts w:hint="eastAsia" w:ascii="仿宋_GB2312" w:hAnsi="仿宋_GB2312" w:eastAsia="仿宋_GB2312" w:cs="仿宋_GB2312"/>
                <w:kern w:val="0"/>
                <w:sz w:val="28"/>
                <w:szCs w:val="28"/>
                <w:lang w:val="en-US" w:eastAsia="zh-CN" w:bidi="ar-SA"/>
              </w:rPr>
              <w:br w:type="textWrapping"/>
            </w:r>
            <w:r>
              <w:rPr>
                <w:rFonts w:hint="eastAsia" w:ascii="仿宋_GB2312" w:hAnsi="仿宋_GB2312" w:eastAsia="仿宋_GB2312" w:cs="仿宋_GB2312"/>
                <w:kern w:val="0"/>
                <w:sz w:val="28"/>
                <w:szCs w:val="28"/>
                <w:lang w:val="en-US" w:eastAsia="zh-CN" w:bidi="ar-SA"/>
              </w:rPr>
              <w:t xml:space="preserve">   </w:t>
            </w:r>
            <w:r>
              <w:rPr>
                <w:rFonts w:hint="eastAsia" w:ascii="仿宋_GB2312" w:hAnsi="仿宋_GB2312" w:cs="仿宋_GB2312"/>
                <w:kern w:val="0"/>
                <w:sz w:val="28"/>
                <w:szCs w:val="28"/>
                <w:lang w:val="en-US" w:eastAsia="zh-CN" w:bidi="ar-SA"/>
              </w:rPr>
              <w:t xml:space="preserve"> </w:t>
            </w:r>
            <w:r>
              <w:rPr>
                <w:rFonts w:hint="eastAsia" w:ascii="仿宋_GB2312" w:hAnsi="仿宋_GB2312" w:eastAsia="仿宋_GB2312" w:cs="仿宋_GB2312"/>
                <w:kern w:val="0"/>
                <w:sz w:val="28"/>
                <w:szCs w:val="28"/>
                <w:lang w:val="en-US" w:eastAsia="zh-CN" w:bidi="ar-SA"/>
              </w:rPr>
              <w:t>二是扎实推进廉政教育</w:t>
            </w:r>
            <w:r>
              <w:rPr>
                <w:rFonts w:hint="eastAsia" w:ascii="仿宋_GB2312" w:hAnsi="仿宋_GB2312" w:eastAsia="仿宋_GB2312" w:cs="仿宋_GB2312"/>
                <w:kern w:val="0"/>
                <w:sz w:val="28"/>
                <w:szCs w:val="28"/>
                <w:lang w:val="en-US" w:eastAsia="en-US" w:bidi="ar-SA"/>
              </w:rPr>
              <w:t>。</w:t>
            </w:r>
            <w:r>
              <w:rPr>
                <w:rFonts w:hint="eastAsia" w:ascii="仿宋_GB2312" w:hAnsi="仿宋_GB2312" w:eastAsia="仿宋_GB2312" w:cs="仿宋_GB2312"/>
                <w:kern w:val="0"/>
                <w:sz w:val="28"/>
                <w:szCs w:val="28"/>
                <w:lang w:val="en-US" w:eastAsia="zh-CN" w:bidi="ar-SA"/>
              </w:rPr>
              <w:t>坚持不懈强化正反两方面教育，</w:t>
            </w:r>
            <w:r>
              <w:rPr>
                <w:rFonts w:hint="eastAsia" w:ascii="仿宋_GB2312" w:hAnsi="仿宋_GB2312" w:eastAsia="仿宋_GB2312" w:cs="仿宋_GB2312"/>
                <w:kern w:val="0"/>
                <w:sz w:val="28"/>
                <w:szCs w:val="28"/>
                <w:lang w:val="en" w:eastAsia="zh-CN" w:bidi="ar-SA"/>
              </w:rPr>
              <w:t>组织</w:t>
            </w:r>
            <w:r>
              <w:rPr>
                <w:rFonts w:hint="eastAsia" w:ascii="仿宋_GB2312" w:hAnsi="仿宋_GB2312" w:eastAsia="仿宋_GB2312" w:cs="仿宋_GB2312"/>
                <w:kern w:val="0"/>
                <w:sz w:val="28"/>
                <w:szCs w:val="28"/>
                <w:lang w:val="en-US" w:eastAsia="zh-CN" w:bidi="ar-SA"/>
              </w:rPr>
              <w:t>观看《持续发力纵深推进》、《绍兴市党员干部腐败和作风问题警示录》等4次警示教育片；通过院周会等会议开展警示教育20余次；组织纪检监察队伍参观甄完故里、绍兴市看守所等廉政教育基地，时刻保持清醒的认识，警钟长鸣。认真研学《中共绍兴市纪委关于7起违反中央八项规定精神典型问题的通报》等文件精神，深刻剖析典型案例，持续深化以案为鉴、以案说法、以案说责，时刻反躬自省，切实引以为戒。</w:t>
            </w:r>
            <w:r>
              <w:rPr>
                <w:rFonts w:hint="eastAsia" w:ascii="仿宋_GB2312" w:hAnsi="仿宋_GB2312" w:eastAsia="仿宋_GB2312" w:cs="仿宋_GB2312"/>
                <w:kern w:val="0"/>
                <w:sz w:val="28"/>
                <w:szCs w:val="28"/>
                <w:lang w:val="en-US" w:eastAsia="zh-CN" w:bidi="ar-SA"/>
              </w:rPr>
              <w:br w:type="textWrapping"/>
            </w:r>
            <w:r>
              <w:rPr>
                <w:rFonts w:hint="eastAsia" w:ascii="仿宋_GB2312" w:hAnsi="仿宋_GB2312" w:eastAsia="仿宋_GB2312" w:cs="仿宋_GB2312"/>
                <w:kern w:val="0"/>
                <w:sz w:val="28"/>
                <w:szCs w:val="28"/>
                <w:lang w:val="en-US" w:eastAsia="zh-CN" w:bidi="ar-SA"/>
              </w:rPr>
              <w:t xml:space="preserve">    三是积</w:t>
            </w:r>
            <w:r>
              <w:rPr>
                <w:rFonts w:hint="eastAsia" w:ascii="仿宋_GB2312" w:hAnsi="仿宋_GB2312" w:eastAsia="仿宋_GB2312" w:cs="仿宋_GB2312"/>
                <w:kern w:val="0"/>
                <w:sz w:val="28"/>
                <w:szCs w:val="28"/>
                <w:lang w:val="en-US" w:eastAsia="en-US" w:bidi="ar-SA"/>
              </w:rPr>
              <w:t>极推进法治建设。</w:t>
            </w:r>
            <w:r>
              <w:rPr>
                <w:rFonts w:hint="eastAsia" w:ascii="仿宋_GB2312" w:hAnsi="仿宋_GB2312" w:eastAsia="仿宋_GB2312" w:cs="仿宋_GB2312"/>
                <w:kern w:val="0"/>
                <w:sz w:val="28"/>
                <w:szCs w:val="28"/>
                <w:lang w:val="en-US" w:eastAsia="zh-CN" w:bidi="ar-SA"/>
              </w:rPr>
              <w:t>积极响应推进法治绍兴、健康绍兴建设，根据法治绍兴建设工作相关部署和绍兴市卫健委相关文件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8"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vAlign w:val="top"/>
          </w:tcPr>
          <w:p>
            <w:pPr>
              <w:keepNext w:val="0"/>
              <w:keepLines w:val="0"/>
              <w:pageBreakBefore w:val="0"/>
              <w:kinsoku/>
              <w:wordWrap/>
              <w:overflowPunct/>
              <w:topLinePunct w:val="0"/>
              <w:autoSpaceDE w:val="0"/>
              <w:autoSpaceDN/>
              <w:bidi w:val="0"/>
              <w:adjustRightInd/>
              <w:snapToGrid/>
              <w:spacing w:line="500" w:lineRule="exact"/>
              <w:jc w:val="both"/>
              <w:textAlignment w:val="auto"/>
              <w:rPr>
                <w:spacing w:val="-9"/>
                <w:kern w:val="0"/>
                <w:sz w:val="24"/>
              </w:rPr>
            </w:pPr>
            <w:r>
              <w:rPr>
                <w:rFonts w:hint="eastAsia" w:ascii="仿宋_GB2312" w:hAnsi="仿宋_GB2312" w:eastAsia="仿宋_GB2312" w:cs="仿宋_GB2312"/>
                <w:kern w:val="0"/>
                <w:sz w:val="28"/>
                <w:szCs w:val="28"/>
                <w:lang w:val="en-US" w:eastAsia="zh-CN" w:bidi="ar-SA"/>
              </w:rPr>
              <w:t>精神，根据《绍兴市中医院关于进一步加强法治建设工作的通知》,强化工作考核细则，明确细化分解各条线普法内容；根据市卫健委每月工作提示，在钉钉“学习强院”的“专栏发布学习任务24场并组织线下培训10场，各职能科定期将阶段性重点法律法规学习内容资料上传发布，累计已发布10项学习资料。开展2次普法</w:t>
            </w:r>
            <w:bookmarkStart w:id="1" w:name="_GoBack"/>
            <w:bookmarkEnd w:id="1"/>
            <w:r>
              <w:rPr>
                <w:rFonts w:hint="eastAsia" w:ascii="仿宋_GB2312" w:hAnsi="仿宋_GB2312" w:eastAsia="仿宋_GB2312" w:cs="仿宋_GB2312"/>
                <w:kern w:val="0"/>
                <w:sz w:val="28"/>
                <w:szCs w:val="28"/>
                <w:lang w:val="en-US" w:eastAsia="zh-CN" w:bidi="ar-SA"/>
              </w:rPr>
              <w:t>小测验，全院职工参与度达到90%以上。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_GB2312" w:hAnsi="仿宋_GB2312" w:eastAsia="仿宋_GB2312" w:cs="仿宋_GB2312"/>
                <w:kern w:val="0"/>
                <w:sz w:val="28"/>
                <w:szCs w:val="28"/>
                <w:lang w:val="en-US" w:eastAsia="zh-CN" w:bidi="ar-SA"/>
              </w:rPr>
              <w:t>2025 年 1 月 18 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9"/>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8"/>
  <w:drawingGridVerticalSpacing w:val="58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02DD48E6"/>
    <w:rsid w:val="13212176"/>
    <w:rsid w:val="3CEA3BB5"/>
    <w:rsid w:val="5F6D2699"/>
    <w:rsid w:val="617E1684"/>
    <w:rsid w:val="6937409B"/>
    <w:rsid w:val="743A24F5"/>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val="0"/>
      <w:spacing w:after="120"/>
      <w:ind w:left="420" w:leftChars="200" w:firstLine="42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4"/>
    <w:link w:val="19"/>
    <w:semiHidden/>
    <w:unhideWhenUsed/>
    <w:qFormat/>
    <w:uiPriority w:val="0"/>
    <w:pPr>
      <w:spacing w:line="600" w:lineRule="atLeast"/>
      <w:ind w:firstLine="705"/>
    </w:pPr>
    <w:rPr>
      <w:rFonts w:ascii="仿宋_GB2312" w:hAnsi="宋体"/>
      <w:b/>
    </w:rPr>
  </w:style>
  <w:style w:type="paragraph" w:styleId="4">
    <w:name w:val="Normal Indent"/>
    <w:basedOn w:val="1"/>
    <w:qFormat/>
    <w:uiPriority w:val="0"/>
    <w:pPr>
      <w:ind w:firstLine="420" w:firstLineChars="200"/>
    </w:pPr>
    <w:rPr>
      <w:rFonts w:ascii="Calibri" w:hAnsi="Calibri" w:eastAsia="仿宋" w:cs="Times New Roman"/>
    </w:rPr>
  </w:style>
  <w:style w:type="paragraph" w:styleId="5">
    <w:name w:val="annotation text"/>
    <w:basedOn w:val="1"/>
    <w:link w:val="15"/>
    <w:semiHidden/>
    <w:unhideWhenUsed/>
    <w:qFormat/>
    <w:uiPriority w:val="0"/>
    <w:pPr>
      <w:jc w:val="left"/>
    </w:pPr>
  </w:style>
  <w:style w:type="paragraph" w:styleId="6">
    <w:name w:val="Body Text"/>
    <w:basedOn w:val="1"/>
    <w:link w:val="30"/>
    <w:semiHidden/>
    <w:unhideWhenUsed/>
    <w:qFormat/>
    <w:uiPriority w:val="99"/>
    <w:pPr>
      <w:spacing w:after="120"/>
    </w:pPr>
  </w:style>
  <w:style w:type="paragraph" w:styleId="7">
    <w:name w:val="Date"/>
    <w:basedOn w:val="1"/>
    <w:next w:val="1"/>
    <w:link w:val="20"/>
    <w:unhideWhenUsed/>
    <w:qFormat/>
    <w:uiPriority w:val="0"/>
    <w:rPr>
      <w:rFonts w:ascii="仿宋_GB2312"/>
    </w:rPr>
  </w:style>
  <w:style w:type="paragraph" w:styleId="8">
    <w:name w:val="Balloon Text"/>
    <w:basedOn w:val="1"/>
    <w:link w:val="22"/>
    <w:semiHidden/>
    <w:unhideWhenUsed/>
    <w:qFormat/>
    <w:uiPriority w:val="0"/>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annotation subject"/>
    <w:basedOn w:val="5"/>
    <w:next w:val="5"/>
    <w:link w:val="21"/>
    <w:semiHidden/>
    <w:unhideWhenUsed/>
    <w:qFormat/>
    <w:uiPriority w:val="0"/>
    <w:rPr>
      <w:b/>
      <w:bCs/>
    </w:rPr>
  </w:style>
  <w:style w:type="table" w:styleId="13">
    <w:name w:val="Table Grid"/>
    <w:basedOn w:val="12"/>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
    <w:name w:val="批注文字 Char"/>
    <w:basedOn w:val="14"/>
    <w:link w:val="5"/>
    <w:semiHidden/>
    <w:qFormat/>
    <w:uiPriority w:val="0"/>
    <w:rPr>
      <w:rFonts w:ascii="Times New Roman" w:hAnsi="Times New Roman" w:eastAsia="仿宋_GB2312" w:cs="Times New Roman"/>
      <w:sz w:val="32"/>
      <w:szCs w:val="24"/>
    </w:rPr>
  </w:style>
  <w:style w:type="character" w:customStyle="1" w:styleId="16">
    <w:name w:val="页眉 Char"/>
    <w:basedOn w:val="14"/>
    <w:link w:val="10"/>
    <w:qFormat/>
    <w:uiPriority w:val="0"/>
    <w:rPr>
      <w:rFonts w:ascii="Times New Roman" w:hAnsi="Times New Roman" w:eastAsia="仿宋_GB2312" w:cs="Times New Roman"/>
      <w:sz w:val="18"/>
      <w:szCs w:val="18"/>
    </w:rPr>
  </w:style>
  <w:style w:type="character" w:customStyle="1" w:styleId="17">
    <w:name w:val="页脚 Char1"/>
    <w:link w:val="9"/>
    <w:qFormat/>
    <w:locked/>
    <w:uiPriority w:val="99"/>
    <w:rPr>
      <w:rFonts w:ascii="Times New Roman" w:hAnsi="Times New Roman" w:eastAsia="仿宋_GB2312" w:cs="Times New Roman"/>
      <w:sz w:val="18"/>
      <w:szCs w:val="18"/>
    </w:rPr>
  </w:style>
  <w:style w:type="character" w:customStyle="1" w:styleId="18">
    <w:name w:val="页脚 Char"/>
    <w:basedOn w:val="14"/>
    <w:qFormat/>
    <w:uiPriority w:val="99"/>
    <w:rPr>
      <w:rFonts w:ascii="Times New Roman" w:hAnsi="Times New Roman" w:eastAsia="仿宋_GB2312" w:cs="Times New Roman"/>
      <w:sz w:val="18"/>
      <w:szCs w:val="18"/>
    </w:rPr>
  </w:style>
  <w:style w:type="character" w:customStyle="1" w:styleId="19">
    <w:name w:val="正文文本缩进 Char"/>
    <w:basedOn w:val="14"/>
    <w:link w:val="3"/>
    <w:semiHidden/>
    <w:qFormat/>
    <w:uiPriority w:val="0"/>
    <w:rPr>
      <w:rFonts w:ascii="仿宋_GB2312" w:hAnsi="宋体" w:eastAsia="仿宋_GB2312" w:cs="Times New Roman"/>
      <w:b/>
      <w:sz w:val="32"/>
      <w:szCs w:val="24"/>
    </w:rPr>
  </w:style>
  <w:style w:type="character" w:customStyle="1" w:styleId="20">
    <w:name w:val="日期 Char"/>
    <w:basedOn w:val="14"/>
    <w:link w:val="7"/>
    <w:qFormat/>
    <w:uiPriority w:val="0"/>
    <w:rPr>
      <w:rFonts w:ascii="仿宋_GB2312" w:hAnsi="Times New Roman" w:eastAsia="仿宋_GB2312" w:cs="Times New Roman"/>
      <w:sz w:val="32"/>
      <w:szCs w:val="24"/>
    </w:rPr>
  </w:style>
  <w:style w:type="character" w:customStyle="1" w:styleId="21">
    <w:name w:val="批注主题 Char"/>
    <w:basedOn w:val="15"/>
    <w:link w:val="11"/>
    <w:semiHidden/>
    <w:qFormat/>
    <w:uiPriority w:val="0"/>
    <w:rPr>
      <w:rFonts w:ascii="Times New Roman" w:hAnsi="Times New Roman" w:eastAsia="仿宋_GB2312" w:cs="Times New Roman"/>
      <w:b/>
      <w:bCs/>
      <w:sz w:val="32"/>
      <w:szCs w:val="24"/>
    </w:rPr>
  </w:style>
  <w:style w:type="character" w:customStyle="1" w:styleId="22">
    <w:name w:val="批注框文本 Char"/>
    <w:basedOn w:val="14"/>
    <w:link w:val="8"/>
    <w:semiHidden/>
    <w:qFormat/>
    <w:uiPriority w:val="0"/>
    <w:rPr>
      <w:rFonts w:ascii="Times New Roman" w:hAnsi="Times New Roman" w:eastAsia="仿宋_GB2312" w:cs="Times New Roman"/>
      <w:sz w:val="18"/>
      <w:szCs w:val="18"/>
    </w:rPr>
  </w:style>
  <w:style w:type="paragraph" w:customStyle="1" w:styleId="23">
    <w:name w:val="Char Char1"/>
    <w:basedOn w:val="1"/>
    <w:qFormat/>
    <w:uiPriority w:val="0"/>
    <w:pPr>
      <w:tabs>
        <w:tab w:val="left" w:pos="360"/>
      </w:tabs>
      <w:ind w:left="360" w:hanging="360"/>
    </w:pPr>
    <w:rPr>
      <w:rFonts w:eastAsia="宋体"/>
      <w:sz w:val="21"/>
    </w:rPr>
  </w:style>
  <w:style w:type="paragraph" w:customStyle="1" w:styleId="24">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5">
    <w:name w:val="fontstyle01"/>
    <w:qFormat/>
    <w:uiPriority w:val="0"/>
    <w:rPr>
      <w:rFonts w:hint="default" w:ascii="TimesNewRomanPSMT" w:hAnsi="TimesNewRomanPSMT"/>
      <w:color w:val="000000"/>
      <w:sz w:val="32"/>
      <w:szCs w:val="32"/>
    </w:rPr>
  </w:style>
  <w:style w:type="character" w:customStyle="1" w:styleId="26">
    <w:name w:val="fontstyle11"/>
    <w:qFormat/>
    <w:uiPriority w:val="0"/>
    <w:rPr>
      <w:rFonts w:hint="eastAsia" w:ascii="仿宋_GB2312" w:eastAsia="仿宋_GB2312"/>
      <w:color w:val="000000"/>
      <w:sz w:val="32"/>
      <w:szCs w:val="32"/>
    </w:rPr>
  </w:style>
  <w:style w:type="character" w:customStyle="1" w:styleId="27">
    <w:name w:val="font101"/>
    <w:basedOn w:val="14"/>
    <w:qFormat/>
    <w:uiPriority w:val="0"/>
    <w:rPr>
      <w:rFonts w:hint="default" w:ascii="Times New Roman" w:hAnsi="Times New Roman" w:cs="Times New Roman"/>
      <w:color w:val="000000"/>
      <w:sz w:val="21"/>
      <w:szCs w:val="21"/>
      <w:u w:val="none"/>
    </w:rPr>
  </w:style>
  <w:style w:type="character" w:customStyle="1" w:styleId="28">
    <w:name w:val="font111"/>
    <w:basedOn w:val="14"/>
    <w:qFormat/>
    <w:uiPriority w:val="0"/>
    <w:rPr>
      <w:rFonts w:hint="eastAsia" w:ascii="楷体_GB2312" w:eastAsia="楷体_GB2312"/>
      <w:color w:val="000000"/>
      <w:sz w:val="21"/>
      <w:szCs w:val="21"/>
      <w:u w:val="none"/>
    </w:rPr>
  </w:style>
  <w:style w:type="character" w:customStyle="1" w:styleId="29">
    <w:name w:val="font71"/>
    <w:basedOn w:val="14"/>
    <w:qFormat/>
    <w:uiPriority w:val="0"/>
    <w:rPr>
      <w:rFonts w:hint="eastAsia" w:ascii="黑体" w:hAnsi="黑体" w:eastAsia="黑体"/>
      <w:color w:val="000000"/>
      <w:sz w:val="21"/>
      <w:szCs w:val="21"/>
      <w:u w:val="none"/>
    </w:rPr>
  </w:style>
  <w:style w:type="character" w:customStyle="1" w:styleId="30">
    <w:name w:val="正文文本 Char"/>
    <w:basedOn w:val="14"/>
    <w:link w:val="6"/>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2</Pages>
  <Words>834</Words>
  <Characters>866</Characters>
  <Lines>60</Lines>
  <Paragraphs>17</Paragraphs>
  <TotalTime>3</TotalTime>
  <ScaleCrop>false</ScaleCrop>
  <LinksUpToDate>false</LinksUpToDate>
  <CharactersWithSpaces>998</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2025-01-20T01:36:00Z</cp:lastPrinted>
  <dcterms:modified xsi:type="dcterms:W3CDTF">2025-01-21T01:58:49Z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eyJoZGlkIjoiNjRiYjBkYzJjNGIwYzcwMzM3ZTRiNWUwODM0MTBjMDMiLCJ1c2VySWQiOiIxNTc2OTE4NDY4In0=</vt:lpwstr>
  </property>
  <property fmtid="{D5CDD505-2E9C-101B-9397-08002B2CF9AE}" pid="4" name="ICV">
    <vt:lpwstr>89C34D8795784DFCA52DFC3475E8F6F0_12</vt:lpwstr>
  </property>
</Properties>
</file>