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eastAsia="仿宋_GB2312"/>
                <w:b/>
                <w:bCs/>
                <w:kern w:val="0"/>
                <w:szCs w:val="32"/>
                <w:lang w:val="en-US" w:eastAsia="zh-CN"/>
              </w:rPr>
              <w:t>杨锋</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default" w:ascii="仿宋_GB2312" w:hAnsi="Calibri" w:eastAsia="仿宋_GB2312"/>
                <w:b/>
                <w:bCs/>
                <w:kern w:val="0"/>
                <w:szCs w:val="32"/>
                <w:lang w:val="en-US" w:eastAsia="zh-CN"/>
              </w:rPr>
            </w:pPr>
            <w:r>
              <w:rPr>
                <w:rFonts w:hint="default" w:ascii="仿宋_GB2312" w:hAnsi="Calibri" w:eastAsia="仿宋_GB2312"/>
                <w:b/>
                <w:bCs/>
                <w:kern w:val="0"/>
                <w:szCs w:val="32"/>
                <w:lang w:val="en-US" w:eastAsia="zh-CN"/>
              </w:rPr>
              <w:t>绍兴市中医院消化内科</w:t>
            </w:r>
          </w:p>
          <w:p>
            <w:pPr>
              <w:autoSpaceDE w:val="0"/>
              <w:spacing w:line="400" w:lineRule="exact"/>
              <w:jc w:val="center"/>
              <w:rPr>
                <w:rFonts w:hint="default" w:ascii="仿宋_GB2312" w:hAnsi="Calibri" w:eastAsia="仿宋_GB2312"/>
                <w:b/>
                <w:bCs/>
                <w:kern w:val="0"/>
                <w:szCs w:val="32"/>
                <w:lang w:val="en-US" w:eastAsia="zh-CN"/>
              </w:rPr>
            </w:pPr>
            <w:r>
              <w:rPr>
                <w:rFonts w:hint="default" w:ascii="仿宋_GB2312" w:hAnsi="Calibri" w:eastAsia="仿宋_GB2312"/>
                <w:b/>
                <w:bCs/>
                <w:kern w:val="0"/>
                <w:szCs w:val="32"/>
                <w:lang w:val="en-US" w:eastAsia="zh-CN"/>
              </w:rPr>
              <w:t>（内镜中心）副主任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年度着重抓了以下三项工作：</w:t>
            </w:r>
          </w:p>
          <w:p>
            <w:pPr>
              <w:autoSpaceDE w:val="0"/>
              <w:spacing w:line="500" w:lineRule="exact"/>
              <w:ind w:firstLine="560" w:firstLineChars="200"/>
              <w:rPr>
                <w:rFonts w:hint="eastAsia" w:ascii="仿宋_GB2312"/>
                <w:kern w:val="0"/>
                <w:sz w:val="28"/>
                <w:szCs w:val="28"/>
                <w:lang w:val="en-US" w:eastAsia="zh-CN"/>
              </w:rPr>
            </w:pPr>
            <w:r>
              <w:rPr>
                <w:rFonts w:hint="eastAsia" w:ascii="仿宋_GB2312"/>
                <w:kern w:val="0"/>
                <w:sz w:val="28"/>
                <w:szCs w:val="28"/>
              </w:rPr>
              <w:t>一是</w:t>
            </w:r>
            <w:r>
              <w:rPr>
                <w:rFonts w:hint="eastAsia" w:ascii="仿宋_GB2312"/>
                <w:kern w:val="0"/>
                <w:sz w:val="28"/>
                <w:szCs w:val="28"/>
                <w:lang w:val="en-US" w:eastAsia="zh-CN"/>
              </w:rPr>
              <w:t>医疗安全工作。</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lang w:val="en-US" w:eastAsia="zh-CN"/>
              </w:rPr>
              <w:t>首先是根据医院的总体要求制定了本科室的质量控制计划，建立健全的质量管理体系，规范临床诊疗行为，加强科室资源配置与管理，同时制定了科室医疗质量持续改进方案，并组织全科室人员学习并执行</w:t>
            </w:r>
            <w:r>
              <w:rPr>
                <w:rFonts w:hint="eastAsia" w:ascii="仿宋_GB2312"/>
                <w:kern w:val="0"/>
                <w:sz w:val="28"/>
                <w:szCs w:val="28"/>
                <w:lang w:eastAsia="zh-CN"/>
              </w:rPr>
              <w:t>。</w:t>
            </w:r>
            <w:r>
              <w:rPr>
                <w:rFonts w:hint="eastAsia" w:ascii="仿宋_GB2312"/>
                <w:kern w:val="0"/>
                <w:sz w:val="28"/>
                <w:szCs w:val="28"/>
                <w:lang w:val="en-US" w:eastAsia="zh-CN"/>
              </w:rPr>
              <w:t>定期开展医疗质量与安全管理小组活动，进行自查回顾与总结。本年度本科室无乙级、丙级病历，无医疗不良事件发生</w:t>
            </w:r>
            <w:r>
              <w:rPr>
                <w:rFonts w:hint="eastAsia" w:ascii="仿宋_GB2312"/>
                <w:kern w:val="0"/>
                <w:sz w:val="28"/>
                <w:szCs w:val="28"/>
              </w:rPr>
              <w:t>。</w:t>
            </w:r>
          </w:p>
          <w:p>
            <w:pPr>
              <w:autoSpaceDE w:val="0"/>
              <w:spacing w:line="500" w:lineRule="exact"/>
              <w:ind w:firstLine="560" w:firstLineChars="200"/>
              <w:rPr>
                <w:rFonts w:hint="eastAsia" w:ascii="仿宋_GB2312"/>
                <w:kern w:val="0"/>
                <w:sz w:val="28"/>
                <w:szCs w:val="28"/>
                <w:lang w:val="en-US" w:eastAsia="zh-CN"/>
              </w:rPr>
            </w:pPr>
            <w:r>
              <w:rPr>
                <w:rFonts w:hint="eastAsia" w:ascii="仿宋_GB2312"/>
                <w:kern w:val="0"/>
                <w:sz w:val="28"/>
                <w:szCs w:val="28"/>
              </w:rPr>
              <w:t>二是</w:t>
            </w:r>
            <w:r>
              <w:rPr>
                <w:rFonts w:hint="eastAsia" w:ascii="仿宋_GB2312"/>
                <w:kern w:val="0"/>
                <w:sz w:val="28"/>
                <w:szCs w:val="28"/>
                <w:lang w:val="en-US" w:eastAsia="zh-CN"/>
              </w:rPr>
              <w:t>内镜质控工作。通过定期与不定期的科室业务学习，提升科室医生理论水平，同时通过专家来院操作演示培训及外出培训等方式提升内镜操作水平。通过消泡剂、优化肠道准备流程等方式提升胃肠镜检查准备优良率；通过培养检查医生的早癌意识提升内镜照片拍摄质量、消化道早癌发现率；提升结肠镜盲肠插镜成功率；保证结肠镜退镜检查时间；提高结肠腺瘤检出率</w:t>
            </w:r>
            <w:r>
              <w:rPr>
                <w:rFonts w:hint="eastAsia" w:ascii="仿宋_GB2312"/>
                <w:kern w:val="0"/>
                <w:sz w:val="28"/>
                <w:szCs w:val="28"/>
              </w:rPr>
              <w:t>。</w:t>
            </w:r>
            <w:r>
              <w:rPr>
                <w:rFonts w:hint="eastAsia" w:ascii="仿宋_GB2312"/>
                <w:kern w:val="0"/>
                <w:sz w:val="28"/>
                <w:szCs w:val="28"/>
                <w:lang w:val="en-US" w:eastAsia="zh-CN"/>
              </w:rPr>
              <w:t>总体内镜检查质量取得长足提升。</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三是</w:t>
            </w:r>
            <w:r>
              <w:rPr>
                <w:rFonts w:hint="eastAsia" w:ascii="仿宋_GB2312"/>
                <w:kern w:val="0"/>
                <w:sz w:val="28"/>
                <w:szCs w:val="28"/>
                <w:lang w:val="en-US" w:eastAsia="zh-CN"/>
              </w:rPr>
              <w:t>提升中医药使用率</w:t>
            </w:r>
            <w:r>
              <w:rPr>
                <w:rFonts w:hint="eastAsia" w:ascii="仿宋_GB2312"/>
                <w:kern w:val="0"/>
                <w:sz w:val="28"/>
                <w:szCs w:val="28"/>
              </w:rPr>
              <w:t>。</w:t>
            </w:r>
            <w:r>
              <w:rPr>
                <w:rFonts w:hint="eastAsia" w:ascii="仿宋_GB2312"/>
                <w:kern w:val="0"/>
                <w:sz w:val="28"/>
                <w:szCs w:val="28"/>
                <w:lang w:val="en-US" w:eastAsia="zh-CN"/>
              </w:rPr>
              <w:t>针对科室中医药使用率低的问题，一方面在门诊加强中医药的使用，内服与外治相结合，通过与中医护理门诊、针灸科等科室的合作，提升中医外治的比率；另一方面针对胃肠镜检查病人，检查前予理气通便方热奄包治疗促进排便，进一步提升肠道准备质量，检查后予气滞方热奄包治疗、腹胀方穴位贴敷等方式缓解腹胀，既增加了中药及中医外治法的使用率，同时又增加了患者检查前后的舒适性与满意度。</w:t>
            </w: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bookmarkStart w:id="1" w:name="_GoBack"/>
            <w:bookmarkEnd w:id="1"/>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kern w:val="0"/>
                <w:sz w:val="28"/>
                <w:szCs w:val="28"/>
                <w:lang w:val="en-US" w:eastAsia="zh-CN"/>
              </w:rPr>
              <w:t>2025 年 1 月 18日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13212176"/>
    <w:rsid w:val="1B517D5F"/>
    <w:rsid w:val="1D9F5E03"/>
    <w:rsid w:val="20F543E3"/>
    <w:rsid w:val="2D9C49FD"/>
    <w:rsid w:val="3CEA3BB5"/>
    <w:rsid w:val="4D604FCC"/>
    <w:rsid w:val="5CE213A6"/>
    <w:rsid w:val="5D327B1E"/>
    <w:rsid w:val="6937409B"/>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0</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2025-01-21T02:06:26Z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