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BD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年度述职报告</w:t>
      </w:r>
    </w:p>
    <w:p w14:paraId="49880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color w:val="000000"/>
          <w:spacing w:val="-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 xml:space="preserve">绍兴市中医院 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lang w:val="en-US" w:eastAsia="zh-CN"/>
        </w:rPr>
        <w:t>李国华</w:t>
      </w:r>
    </w:p>
    <w:p w14:paraId="144A43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32" w:firstLineChars="200"/>
        <w:textAlignment w:val="auto"/>
        <w:rPr>
          <w:rFonts w:hint="eastAsia" w:ascii="仿宋" w:hAnsi="仿宋" w:eastAsia="仿宋" w:cs="仿宋"/>
          <w:color w:val="000000"/>
          <w:spacing w:val="-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年，在卫健委、医院党委的领导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lang w:val="en-US" w:eastAsia="zh-CN"/>
        </w:rPr>
        <w:t>下，在分管职能科室的协同配合，临床、医技、药剂科室的支持下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，围绕医院工作思路，认真履行岗位职责，坚持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lang w:val="en-US" w:eastAsia="zh-CN"/>
        </w:rPr>
        <w:t>学科发展与医疗质量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两手抓，扎实推进年度工作目标和任务。现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  <w:lang w:val="en-US" w:eastAsia="zh-CN"/>
        </w:rPr>
        <w:t>将工作</w:t>
      </w:r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汇报如下：</w:t>
      </w:r>
    </w:p>
    <w:p w14:paraId="565B013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32" w:firstLineChars="200"/>
        <w:textAlignment w:val="auto"/>
        <w:rPr>
          <w:rFonts w:hint="eastAsia" w:ascii="黑体" w:hAnsi="黑体" w:eastAsia="黑体" w:cs="黑体"/>
          <w:color w:val="000000"/>
          <w:spacing w:val="-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2"/>
          <w:sz w:val="32"/>
          <w:szCs w:val="32"/>
          <w:lang w:val="en-US" w:eastAsia="zh-CN"/>
        </w:rPr>
        <w:t>一、加强理论学习，提高政治素质</w:t>
      </w:r>
    </w:p>
    <w:p w14:paraId="63A8905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一是加强理论学习，认真学习党的二十届三中全会报告、开展党纪学习教育、《习近平著作选读》《习近平新时代中国特色社会主义思想专题摘编》，深刻领会新思想丰富内涵。二是</w:t>
      </w:r>
      <w:r>
        <w:rPr>
          <w:rFonts w:hint="eastAsia" w:ascii="仿宋" w:hAnsi="仿宋" w:eastAsia="仿宋" w:cs="仿宋"/>
          <w:sz w:val="32"/>
          <w:szCs w:val="32"/>
        </w:rPr>
        <w:t>严守政治纪律和政治规矩，忠诚拥护“两个确立”，坚决做到“两个维护”，牢固树立“四个意识”、坚定“四个自信”，自觉保持与党中央高度一致，贯彻执行党委各项决策部署。</w:t>
      </w:r>
    </w:p>
    <w:p w14:paraId="66CBBE5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二、担当尽职，推进医院高质量发展</w:t>
      </w:r>
    </w:p>
    <w:p w14:paraId="01A4ABC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1、高效腾挪，顺利完成改建区搬迁</w:t>
      </w:r>
    </w:p>
    <w:p w14:paraId="6FC8B47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组织协调，流程优化，顺利完成八、十三病区、血透室异地安置及改建区病区、急诊室搬迁。积极应对二期改建床位减少86张的多重影响，修订全院床位分配方案和床日考核激励机制，加快床位周转。改建工程竣工后，牵头制定搬迁方案，顺利完成3、4号楼急诊、血透及病区搬迁启用。2024年，医疗业务收入增长6.01%、门急诊患者增长9.32%、出院患者增长11.31%，本年度无重大医疗质量安全事故发生。</w:t>
      </w:r>
    </w:p>
    <w:p w14:paraId="7CADC03C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加强专科建设，推进12510专科提升工程</w:t>
      </w:r>
    </w:p>
    <w:p w14:paraId="764F05B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新一轮竞聘和双向选择，成功组建54个诊疗组，其中新增10个，进一步推动学科专业细化和人才竞争。通过全院发动、申报评选，23个专科列入12510建设项目名单，确定了“1个领先专科先行走、2个优势专科往前带、5个特色专科均衡建、10个基础专科有序跟”的临床专科能力发展模式，按照工作方案做好专科建设动态监测、阶段总结和年度考核，提升专科诊疗技术水平和服务能力。眼科、消化瞄准省级重点专科建设，急诊、重症一体化推进，“创伤、胸痛、卒中”三中心加快建设，针灸科、神经内科、老年病科、骨伤科、康复医学科多元融合。</w:t>
      </w:r>
    </w:p>
    <w:p w14:paraId="108CFC6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推进国家优势专科建设。成立中医传统正骨中心和老年髋部骨折中心，理顺院内转诊流程，优化专项激励机制，建立MDT无痛正骨模式和老年髋部骨折患者绿色通道,有效服务“一老一小”，推动传统正骨、现代镇痛、微创、康复一体化发展。运动医学科、康复科设独立病区，建立运动医学科国内名医工作室，培育特色专科品牌，为打造区域一流、全国领先的优势专科开好局、起好步。骨伤科作为全市唯一，成功入选“国家中医优势专科建设单位”，成为浙江省中医优势专科联盟副组长单位。</w:t>
      </w:r>
    </w:p>
    <w:p w14:paraId="5CAD4751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扩面提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质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双下沉</w:t>
      </w:r>
      <w:bookmarkStart w:id="0" w:name="_GoBack"/>
      <w:bookmarkEnd w:id="0"/>
    </w:p>
    <w:p w14:paraId="1250B4A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稳步推进马山社区卫生服务中心紧密型医联体建设，深化医联体专科联盟和双向转诊工作，医联体上转住院病人681人次，下转病人784人次。牵头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组织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基层中医药适宜技术服务网络，举办6场省、市级适宜技术继教班，5期学术沙龙，500余人次基层医务人员参加培训和进修。组织百场千医下基层、中医药文化进农村活动，举行卫生健康日各类义诊23场。与5家养老机构、护理院、福利院签订《养医联合体服务协议》,长年为康养人员提供优质的中医药服务。</w:t>
      </w:r>
    </w:p>
    <w:p w14:paraId="11AAA4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4、严格</w:t>
      </w:r>
      <w:r>
        <w:rPr>
          <w:rFonts w:hint="eastAsia" w:ascii="仿宋" w:hAnsi="仿宋" w:eastAsia="仿宋" w:cs="仿宋"/>
          <w:sz w:val="32"/>
          <w:szCs w:val="32"/>
        </w:rPr>
        <w:t>医疗质量与安全管理</w:t>
      </w:r>
    </w:p>
    <w:p w14:paraId="257B36E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优化科室综合质量考核细则，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调整中医非药物治疗，预约诊疗率</w:t>
      </w:r>
      <w:r>
        <w:rPr>
          <w:rFonts w:hint="eastAsia" w:ascii="仿宋" w:hAnsi="仿宋" w:eastAsia="仿宋" w:cs="仿宋"/>
          <w:sz w:val="32"/>
          <w:szCs w:val="32"/>
        </w:rPr>
        <w:t>等指标。组织医疗质量与安全督查，迎接各级质控检查，对存在问题进行整改，做好医疗质量持续改进。每月组织科主任、诊疗组长参加医疗质量管理例会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妥善处理投诉纠纷，组织医疗质量与安全委员会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行风效能建设领导小组会议，对有效投诉进行通报及考核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优化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各项</w:t>
      </w:r>
      <w:r>
        <w:rPr>
          <w:rFonts w:hint="eastAsia" w:ascii="仿宋" w:hAnsi="仿宋" w:eastAsia="仿宋" w:cs="仿宋"/>
          <w:sz w:val="32"/>
          <w:szCs w:val="32"/>
        </w:rPr>
        <w:t>管理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制度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57AECB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5、优化服务流程，特色服务受欢迎</w:t>
      </w:r>
    </w:p>
    <w:p w14:paraId="57FA651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中医夜门诊持续升温。经一年建设，中医特色夜门诊达到11个，涵盖中医内科、针灸、推拿、妇科、儿科、护理等，夜间服务量达150余人次，便捷的延伸服务和中医药特色诊疗技术赢得市民良好的口碑。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推出中暑、心悸胸闷、腹泻、自汗、湿疹、带下病等时令门诊和酸梅饮等多种养生产品，在考试季提供“状元”提神香囊，受群众青睐。</w:t>
      </w:r>
    </w:p>
    <w:p w14:paraId="6D6C6D33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提升越医品牌价值</w:t>
      </w:r>
    </w:p>
    <w:p w14:paraId="08E85D2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展越医博物馆数字化提质升级、绍派医学古籍医案整理，拓展“数字越医”非遗项目活态传承，接待参观团和研学游60场次。新增一家基层“绍派伤寒”合作单位，成功举办第二届“越医论坛”、完成鲁迅小学51次中医药文化课，开放药膳餐厅，探索养生营养管理。积极发挥国遗传承保护单位作用，将国遗“绍派伤寒”和越医文化精髓与专科专病和医院文化有机融合，以中医药文化弘扬推动中医药服务发展。</w:t>
      </w:r>
    </w:p>
    <w:p w14:paraId="547A20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推进健康促进工作</w:t>
      </w:r>
    </w:p>
    <w:p w14:paraId="083A25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推进健康促进医院工作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加大院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内</w:t>
      </w:r>
      <w:r>
        <w:rPr>
          <w:rFonts w:hint="eastAsia" w:ascii="仿宋" w:hAnsi="仿宋" w:eastAsia="仿宋" w:cs="仿宋"/>
          <w:sz w:val="32"/>
          <w:szCs w:val="32"/>
        </w:rPr>
        <w:t>外健康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科普</w:t>
      </w:r>
      <w:r>
        <w:rPr>
          <w:rFonts w:hint="eastAsia" w:ascii="仿宋" w:hAnsi="仿宋" w:eastAsia="仿宋" w:cs="仿宋"/>
          <w:sz w:val="32"/>
          <w:szCs w:val="32"/>
        </w:rPr>
        <w:t>，组织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院内中医药大讲堂，</w:t>
      </w:r>
      <w:r>
        <w:rPr>
          <w:rFonts w:hint="eastAsia" w:ascii="仿宋" w:hAnsi="仿宋" w:eastAsia="仿宋" w:cs="仿宋"/>
          <w:sz w:val="32"/>
          <w:szCs w:val="32"/>
        </w:rPr>
        <w:t>进社区、企业、学校等，在国家宣传司组织的健康科普作品大赛中，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个作品获优秀。</w:t>
      </w:r>
    </w:p>
    <w:p w14:paraId="673AF8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</w:t>
      </w:r>
      <w:r>
        <w:rPr>
          <w:rFonts w:hint="eastAsia" w:ascii="仿宋" w:hAnsi="仿宋" w:eastAsia="仿宋" w:cs="仿宋"/>
          <w:sz w:val="32"/>
          <w:szCs w:val="32"/>
        </w:rPr>
        <w:t>临床药事服务</w:t>
      </w:r>
    </w:p>
    <w:p w14:paraId="431B7CE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加强处方点评，促进合理用药，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严格管理</w:t>
      </w:r>
      <w:r>
        <w:rPr>
          <w:rFonts w:hint="eastAsia" w:ascii="仿宋" w:hAnsi="仿宋" w:eastAsia="仿宋" w:cs="仿宋"/>
          <w:sz w:val="32"/>
          <w:szCs w:val="32"/>
        </w:rPr>
        <w:t>重点监控药品、抗菌药物、麻精类药品的合理使用，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组织</w:t>
      </w:r>
      <w:r>
        <w:rPr>
          <w:rFonts w:hint="eastAsia" w:ascii="仿宋" w:hAnsi="仿宋" w:eastAsia="仿宋" w:cs="仿宋"/>
          <w:sz w:val="32"/>
          <w:szCs w:val="32"/>
        </w:rPr>
        <w:t>药师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</w:t>
      </w:r>
      <w:r>
        <w:rPr>
          <w:rFonts w:hint="eastAsia" w:ascii="仿宋" w:hAnsi="仿宋" w:eastAsia="仿宋" w:cs="仿宋"/>
          <w:sz w:val="32"/>
          <w:szCs w:val="32"/>
        </w:rPr>
        <w:t>门诊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</w:t>
      </w:r>
      <w:r>
        <w:rPr>
          <w:rFonts w:hint="eastAsia" w:ascii="仿宋" w:hAnsi="仿宋" w:eastAsia="仿宋" w:cs="仿宋"/>
          <w:sz w:val="32"/>
          <w:szCs w:val="32"/>
        </w:rPr>
        <w:t>病区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 w:cs="仿宋"/>
          <w:sz w:val="32"/>
          <w:szCs w:val="32"/>
        </w:rPr>
        <w:t>落实集采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国谈药品配备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率。完成中药颗粒剂招标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加强中药饮片调剂管理，</w:t>
      </w:r>
      <w:r>
        <w:rPr>
          <w:rFonts w:hint="eastAsia" w:ascii="仿宋" w:hAnsi="仿宋" w:eastAsia="仿宋" w:cs="仿宋"/>
          <w:sz w:val="32"/>
          <w:szCs w:val="32"/>
        </w:rPr>
        <w:t>打造智慧中药房一站式服务。</w:t>
      </w:r>
    </w:p>
    <w:p w14:paraId="3768B7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三、严守廉洁自律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履行一岗双责</w:t>
      </w:r>
    </w:p>
    <w:p w14:paraId="35E320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在工作和生活中，本人严守政治纪律，严格执行中央八项规定、坚决反对“四风”，严格执行“三重一大”议事决策制度。无违规使用公务用车情况，未接受生产、销售企业或个人给予的各种不正当利益。认真履行“一岗双责”，抓好职责范围内和分管科室廉政建设和行风建设，深化廉政风险防控，开展谈心谈话，定期向医院主要领导报告工作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严格落实意识形态工作责任制，强化阵地和事件管控，及时有效处理网络等舆情事件。</w:t>
      </w:r>
    </w:p>
    <w:p w14:paraId="107DEC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四、学法守法用法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规范法治意识</w:t>
      </w:r>
    </w:p>
    <w:p w14:paraId="3BFE70F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树立法治思维，自觉尊崇宪法和党章，以法治意识规范医疗行为，学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习</w:t>
      </w:r>
      <w:r>
        <w:rPr>
          <w:rFonts w:hint="eastAsia" w:ascii="仿宋" w:hAnsi="仿宋" w:eastAsia="仿宋" w:cs="仿宋"/>
          <w:sz w:val="32"/>
          <w:szCs w:val="32"/>
        </w:rPr>
        <w:t>法律法规及规章制度。通过学习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民法典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有关医疗侵权内容，坚持依法执业的底线，防范医疗纠纷。学习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中医药法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，并通过理论学习中心组和党课形式进行宣讲。</w:t>
      </w:r>
    </w:p>
    <w:p w14:paraId="1C5023E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年无个人重大事项报告。</w:t>
      </w:r>
    </w:p>
    <w:p w14:paraId="44BDB6A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回顾一年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工作，取得了一些成绩，也存在不少问题和不足，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如平时调查研究不够深入，主动下基层解决实际问题能力、执行能力有待加强；</w:t>
      </w:r>
      <w:r>
        <w:rPr>
          <w:rFonts w:hint="eastAsia" w:ascii="仿宋" w:hAnsi="仿宋" w:eastAsia="仿宋" w:cs="仿宋"/>
          <w:sz w:val="32"/>
          <w:szCs w:val="32"/>
        </w:rPr>
        <w:t>学科发展不均衡，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综合救治能力亟待提升；</w:t>
      </w:r>
      <w:r>
        <w:rPr>
          <w:rFonts w:hint="eastAsia" w:ascii="仿宋" w:hAnsi="仿宋" w:eastAsia="仿宋" w:cs="仿宋"/>
          <w:sz w:val="32"/>
          <w:szCs w:val="32"/>
        </w:rPr>
        <w:t>医患纠纷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不良事件发生频率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偏</w:t>
      </w:r>
      <w:r>
        <w:rPr>
          <w:rFonts w:hint="eastAsia" w:ascii="仿宋" w:hAnsi="仿宋" w:eastAsia="仿宋" w:cs="仿宋"/>
          <w:sz w:val="32"/>
          <w:szCs w:val="32"/>
        </w:rPr>
        <w:t>高，患者就医体验，满意度仍需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不断改善</w:t>
      </w:r>
      <w:r>
        <w:rPr>
          <w:rFonts w:hint="eastAsia" w:ascii="仿宋" w:hAnsi="仿宋" w:eastAsia="仿宋" w:cs="仿宋"/>
          <w:sz w:val="32"/>
          <w:szCs w:val="32"/>
        </w:rPr>
        <w:t>。针对以上不足，我将进一步加强学习、努力提升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管理水平</w:t>
      </w:r>
      <w:r>
        <w:rPr>
          <w:rFonts w:hint="eastAsia" w:ascii="仿宋" w:hAnsi="仿宋" w:eastAsia="仿宋" w:cs="仿宋"/>
          <w:sz w:val="32"/>
          <w:szCs w:val="32"/>
        </w:rPr>
        <w:t>，在卫健委与医院党委的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领导</w:t>
      </w:r>
      <w:r>
        <w:rPr>
          <w:rFonts w:hint="eastAsia" w:ascii="仿宋" w:hAnsi="仿宋" w:eastAsia="仿宋" w:cs="仿宋"/>
          <w:sz w:val="32"/>
          <w:szCs w:val="32"/>
        </w:rPr>
        <w:t>下，努力为医院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高质量</w:t>
      </w:r>
      <w:r>
        <w:rPr>
          <w:rFonts w:hint="eastAsia" w:ascii="仿宋" w:hAnsi="仿宋" w:eastAsia="仿宋" w:cs="仿宋"/>
          <w:sz w:val="32"/>
          <w:szCs w:val="32"/>
        </w:rPr>
        <w:t>发展做出更大贡献。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3B5AC60-9FFF-4368-972B-CFEA2E41222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AE84BA6-6A85-4B7C-9A83-A6C6DA2F66E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C19A7A5-87BB-4E29-AA45-F5268BA1FA7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36591A"/>
    <w:multiLevelType w:val="singleLevel"/>
    <w:tmpl w:val="8336591A"/>
    <w:lvl w:ilvl="0" w:tentative="0">
      <w:start w:val="6"/>
      <w:numFmt w:val="decimal"/>
      <w:suff w:val="nothing"/>
      <w:lvlText w:val="%1、"/>
      <w:lvlJc w:val="left"/>
    </w:lvl>
  </w:abstractNum>
  <w:abstractNum w:abstractNumId="1">
    <w:nsid w:val="1DAD3784"/>
    <w:multiLevelType w:val="singleLevel"/>
    <w:tmpl w:val="1DAD378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11FE01AF"/>
    <w:rsid w:val="03DB240E"/>
    <w:rsid w:val="08D70F97"/>
    <w:rsid w:val="11351D80"/>
    <w:rsid w:val="11FE01AF"/>
    <w:rsid w:val="1DD3667A"/>
    <w:rsid w:val="234C2589"/>
    <w:rsid w:val="27A504B9"/>
    <w:rsid w:val="27AB365E"/>
    <w:rsid w:val="29EE439A"/>
    <w:rsid w:val="2E6A2D37"/>
    <w:rsid w:val="2FD92DBF"/>
    <w:rsid w:val="3C4553BC"/>
    <w:rsid w:val="40066116"/>
    <w:rsid w:val="403D52DB"/>
    <w:rsid w:val="49A96285"/>
    <w:rsid w:val="4B927FB2"/>
    <w:rsid w:val="4CA7520F"/>
    <w:rsid w:val="4EFA42FA"/>
    <w:rsid w:val="61DA69D6"/>
    <w:rsid w:val="61FD62E9"/>
    <w:rsid w:val="64B20930"/>
    <w:rsid w:val="70F61388"/>
    <w:rsid w:val="71BD2836"/>
    <w:rsid w:val="72916C3D"/>
    <w:rsid w:val="7E94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2343</Words>
  <Characters>2393</Characters>
  <Lines>0</Lines>
  <Paragraphs>0</Paragraphs>
  <TotalTime>377</TotalTime>
  <ScaleCrop>false</ScaleCrop>
  <LinksUpToDate>false</LinksUpToDate>
  <CharactersWithSpaces>2394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2023-01-04T14:13:00Z</dcterms:created>
  <dc:creator>李国华</dc:creator>
  <cp:lastModifiedBy>李国华</cp:lastModifiedBy>
  <dcterms:modified xsi:type="dcterms:W3CDTF">2025-01-19T15:10:37Z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5920D39A24174ED69828EFF1DD6FDDF9_13</vt:lpwstr>
  </property>
  <property fmtid="{D5CDD505-2E9C-101B-9397-08002B2CF9AE}" pid="4" name="KSOTemplateDocerSaveRecord">
    <vt:lpwstr>eyJoZGlkIjoiY2I5NDQxNTBiMDk3YjQ4NmFkNzBlZmU2NWUxNThmYzMiLCJ1c2VySWQiOiI0NjEyMDkwMDgifQ==</vt:lpwstr>
  </property>
</Properties>
</file>