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Style w:val="5"/>
          <w:rFonts w:hint="eastAsia" w:ascii="宋体" w:hAnsi="宋体" w:eastAsia="宋体" w:cs="宋体"/>
          <w:b/>
          <w:bCs/>
          <w:i w:val="0"/>
          <w:iCs w:val="0"/>
          <w:spacing w:val="7"/>
          <w:sz w:val="28"/>
          <w:szCs w:val="28"/>
        </w:rPr>
        <w:t>党政机关厉行节约反对浪费条例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（2013年10月29日中共中央政治局会议审议批准 2013年11月18日中共中央、国务院发布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2025年5月2日中共中央批准 2025年5月2日中共中央、国务院发布）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br w:type="textWrapping"/>
      </w:r>
      <w:r>
        <w:rPr>
          <w:rStyle w:val="5"/>
          <w:rFonts w:hint="eastAsia" w:ascii="宋体" w:hAnsi="宋体" w:eastAsia="宋体" w:cs="宋体"/>
          <w:b/>
          <w:bCs/>
          <w:i w:val="0"/>
          <w:iCs w:val="0"/>
          <w:spacing w:val="7"/>
          <w:sz w:val="28"/>
          <w:szCs w:val="28"/>
        </w:rPr>
        <w:t>第一章　总则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第一条　为了进一步弘扬艰苦奋斗、勤俭节约的优良作风，推进党政机关厉行节约反对浪费，建设节约型机关，根据《中国共产党章程》和《中华人民共和国宪法》，制定本条例。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第二条　本条例适用于党的机关、人大机关、行政机关、政协机关、监察机关、审判机关、检察机关，以及工会、共青团、妇联等人民团体和参照公务员法管理的事业单位。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第三条　本条例所称浪费，是指党政机关及其工作人员违反规定进行不必要的公务活动，或者在履行公务中超出规定范围、标准和要求，不当使用公共资金、资产和资源，给国家和社会造成损失的行为。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第四条　党政机关厉行节约反对浪费，应当深入贯彻中央八项规定精神，遵循下列原则：坚持从严从简，带头过紧日子，勤俭办一切事业，降低公务活动成本，腾出更多资金用于发展所需、民生所盼；坚持依规依法，遵守党内法规和国家法律法规的相关规定，严格按照制度办事；坚持提质增效，科学统筹财政资源，严格控制经费支出，加强厉行节约绩效考评；坚持实事求是，从实际出发安排公务活动，取消不必要的公务活动，保证正常公务活动；坚持公开透明，除涉及国家秘密事项外，公务活动中的公共资金、资产和资源使用等情况应当按照规定予以公开，接受各方面监督；坚持深化改革，通过改革创新破解体制机制障碍，建立健全厉行节约反对浪费工作长效机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第五条　中央办公厅、国务院办公厅负责统筹协调、指导检查全国党政机关厉行节约反对浪费工作，有关协调联络机制承办具体事务。地方各级党委和政府办公厅（室）负责指导检查本地区党政机关厉行节约反对浪费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各级纪检监察机关和组织人事、宣传、外事、发展改革、财政、审计、机关事务管理等部门根据职责分工，依规依法履行对厉行节约反对浪费相关工作的管理、监督等职责。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第六条　各级党委和政府应当加强对厉行节约反对浪费工作的组织领导。党政机关领导班子主要负责人对本地区、本部门、本单位的厉行节约反对浪费工作负总责，其他成员根据工作分工，对职责范围内的厉行节约反对浪费工作负主要领导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第七条　各级领导机关和领导干部必须树立正确政绩观，坚持以身作则、以上率下，严禁搞劳民伤财的“形象工程”、“政绩工程”，防止重大决策失误造成严重浪费，坚决反对形式主义、官僚主义、享乐主义和奢靡之风。</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left"/>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中央和国家机关各部门应当在厉行勤俭节约、反对铺张浪费上走在前、作表率。</w:t>
      </w:r>
      <w:r>
        <w:rPr>
          <w:rFonts w:hint="eastAsia" w:ascii="宋体" w:hAnsi="宋体" w:eastAsia="宋体" w:cs="宋体"/>
          <w:b w:val="0"/>
          <w:bCs w:val="0"/>
          <w:i w:val="0"/>
          <w:iCs w:val="0"/>
          <w:spacing w:val="7"/>
          <w:sz w:val="28"/>
          <w:szCs w:val="28"/>
        </w:rPr>
        <w:br w:type="textWrapping"/>
      </w:r>
      <w:r>
        <w:rPr>
          <w:rFonts w:hint="eastAsia" w:ascii="宋体" w:hAnsi="宋体" w:eastAsia="宋体" w:cs="宋体"/>
          <w:b w:val="0"/>
          <w:bCs w:val="0"/>
          <w:i w:val="0"/>
          <w:iCs w:val="0"/>
          <w:spacing w:val="7"/>
          <w:sz w:val="28"/>
          <w:szCs w:val="28"/>
          <w:lang w:val="en-US" w:eastAsia="zh-CN"/>
        </w:rPr>
        <w:t xml:space="preserve">                 </w:t>
      </w:r>
      <w:r>
        <w:rPr>
          <w:rStyle w:val="5"/>
          <w:rFonts w:hint="eastAsia" w:ascii="宋体" w:hAnsi="宋体" w:eastAsia="宋体" w:cs="宋体"/>
          <w:b/>
          <w:bCs/>
          <w:i w:val="0"/>
          <w:iCs w:val="0"/>
          <w:spacing w:val="7"/>
          <w:sz w:val="28"/>
          <w:szCs w:val="28"/>
        </w:rPr>
        <w:t>第二章　经费管理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588" w:firstLineChars="200"/>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第八条　党政机关应当加强预算编制管理，按照加强财政资源和预算统筹的要求，将各项收入和支出全部纳入预算。</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党政机关取得的行政事业性收费收入、政府性基金收入、罚没收入、国有资源（资产）有偿使用收入等非税收入，必须按照规定及时足额上缴国库，严禁以任何形式隐瞒、截留、挤占、挪用、坐支、拖欠或者私分，严禁转移到机关所属工会、培训中心、服务中心等单位账户使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第九条　强化预算刚性约束，党政机关应当遵循先有预算、后有支出的原则，严格执行预算，严禁超预算或者无预算安排支出，严禁虚列支出、转移或者套取财政资金，严禁向下级单位、企事业单位、社会组织、个人摊派或者转嫁费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严格控制国内差旅费、因公临时出国（境）费、公务接待费、公务用车购置及运行费、会议费、培训费等支出。年度预算执行中不予追加，因特殊需要确需追加的，严格按照规定程序报批。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健全预算执行全过程动态监控机制，完善预算绩效管理体系，增强预算执行的严肃性，提高预算执行的准确率，防止年底突击花钱等现象发生。</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第十条　深化政府会计改革，进一步健全会计制度，准确核算机关运行经费，全面反映机关运行成本。</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第十一条　财政部门应当会同有关部门，根据国内差旅、因公临时出国（境）、公务接待、会议、培训等工作特点，综合考虑经济发展水平、有关货物和服务的市场价格水平，制定分地区的公务活动经费开支范围和开支标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加强相关开支标准之间的衔接，完善开支标准动态调整机制，定期根据有关货物和服务的市场价格变动情况调整相关开支标准，增强开支标准的协调性、规范性、科学性。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严格开支范围和标准，严格支出报销审核，不得报销任何超范围、超标准以及与相关公务活动无关的费用。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第十二条　全面实行公务卡制度。健全公务卡强制结算目录，党政机关国内发生的公务差旅费、公务接待费、公务用车运行维护费、会议费、培训费等经费支出，除按照规定实行银行转账外，应当使用公务卡结算。</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第十三条　党政机关采购货物、工程和服务，应当遵循公开透明、公平竞争、公正、诚实信用原则。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政府采购应当依法完整准确编制采购项目预算，严格执行经费预算和资产配置标准，科学合理确定采购需求，不得超标准采购，不得采购与本单位履行职能和事业发展无关的资产，不得超出办公需要采购服务。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严格执行政府采购程序，不得违反规定以任何方式和理由指定或者变相指定供应商、品牌、型号、产地。依法应当进行公开招标的，不得以化整为零或者其他任何方式规避公开招标，确需改变采购方式的，应当严格执行有关公示和审批程序。列入政府集中采购目录范围的应当委托集中采购机构代理采购，属于批量集中采购范围的应当进行批量集中采购。</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党政机关应当按照政府采购合同规定组织验收。政府采购监督管理部门应当建立健全政府采购结果评价制度，对政府采购的资金节约、政策效能、透明程度以及专业化水平进行综合、客观评价。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完善政府采购管理交易系统，推进电子化政府采购。</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第十四条　优化政府投资方向和结构，加强政府投资全生命周期管理，坚决防止低效无效投资。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完善“半拉子工程”、已建未用项目等科学处置程序办法。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br w:type="textWrapping"/>
      </w:r>
      <w:r>
        <w:rPr>
          <w:rStyle w:val="5"/>
          <w:rFonts w:hint="eastAsia" w:ascii="宋体" w:hAnsi="宋体" w:eastAsia="宋体" w:cs="宋体"/>
          <w:b/>
          <w:bCs/>
          <w:i w:val="0"/>
          <w:iCs w:val="0"/>
          <w:spacing w:val="7"/>
          <w:sz w:val="28"/>
          <w:szCs w:val="28"/>
        </w:rPr>
        <w:t>第三章　国内差旅和因公临时出国（境）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第十五条　党政机关应当严格执行国内差旅内部审批制度，加强计划管理和统筹把关，从严控制人数和天数，严禁无实质内容、无明确公务目的的差旅活动，严禁以任何名义和方式变相旅游，严禁异地部门间无实质内容的学习交流和考察调研。加强对到基层调研、督查检查的统筹规范，防止重复扎堆增加基层负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第十六条　国内差旅人员应当严格按照规定乘坐交通工具、住宿、用餐，费用由所在单位承担。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差旅人员用车、住宿、用餐由接待单位协助安排的，必须按照规定标准及时足额交纳交通费、住宿费、伙食费。差旅人员不得向接待单位提出正常公务活动以外的要求，不得接受礼金、礼品和土特产品等。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第十七条　统筹安排年度因公临时出国计划，严格控制团组数量和出访国家数、团组人数、在外停留天数，不得安排照顾性、无实质内容的一般性出访，不得组织开展一般性出国考察、日常调研、交流学习等活动，严禁集中安排赴热门国家或者地区出访，严禁以任何名义和方式变相公款出国旅游。严格执行因公临时出国限量管理规定，不得把出国作为个人待遇、安排轮流出国。严格控制跨地区、跨部门团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组织人事、外专等部门应当加强出国培训总体规划和监督管理，严格控制出国培训规模，科学设置培训项目，择优选派培训对象，提高出国培训的质量和实效。</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第十八条　外事管理部门应当加强因公临时出国审核审批管理，对违反规定、不适合成行的团组予以调整或者取消。</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加强因公临时出国经费预算总额控制，严格执行经费先行审核制度。无出国经费预算安排的不予批准，确有特殊需要的，按照规定程序报批。严禁违反规定使用出国经费预算以外资金作为出国经费，严禁向所属单位、企业、我国驻外机构等摊派或者转嫁出国费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第十九条　出国团组应当按照规定标准安排交通工具和食宿，不得违反规定乘坐民航包机，不得乘坐私人、企业和外国航空公司包机，不得安排超标准住房和用车，不得擅自增加出访国家或者地区，不得擅自变更行程路线，不得擅自延长在国外停留天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出国期间，不得与我国驻外机构和其他中资机构、企业之间用公款互赠礼品或者纪念品，不得用公款相互宴请。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第二十条　严格根据工作需要编制出境计划，加强因公出境审批和管理，不得违规安排出境考察，不得组织无实质内容的调研、会议、培训等活动。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严格遵守因公出境经费预算、支出、使用、核算等财务制度，不得接受超标准接待和高消费娱乐，不得接受礼金、贵重礼品、有价证券、支付凭证等，严禁参与境外赌博。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br w:type="textWrapping"/>
      </w:r>
      <w:r>
        <w:rPr>
          <w:rStyle w:val="5"/>
          <w:rFonts w:hint="eastAsia" w:ascii="宋体" w:hAnsi="宋体" w:eastAsia="宋体" w:cs="宋体"/>
          <w:b/>
          <w:bCs/>
          <w:i w:val="0"/>
          <w:iCs w:val="0"/>
          <w:spacing w:val="7"/>
          <w:sz w:val="28"/>
          <w:szCs w:val="28"/>
        </w:rPr>
        <w:t>第四章　公务接待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第二十一条　建立健全国内公务接待集中管理制度。党政机关公务接待管理部门应当加强对国内公务接待工作的管理、指导和监督。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第二十二条　党政机关应当建立国内公务接待审批控制制度，严格执行公函制度，对无公函的公务活动一律不予接待，严禁将非公务活动纳入接待范围。</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第二十三条　党政机关应当严格执行国内公务接待标准，实行接待费支出总额控制制度。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接待单位应当严格按照标准安排接待对象的住宿用房，协助安排用餐、用车的按照标准收取伙食费、交通费。工作餐不得提供高档菜肴，不得提供香烟，不上酒。不得在接待费中列支应当由接待对象承担的费用，不得以举办会议、培训等名义列支、转移、隐匿接待费开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接待单位不得在机场、车站、码头和辖区边界组织迎送活动，不得跨地区迎送。严格控制陪同人数，不得层层多人陪同。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接待单位应当严格执行国内公务接待清单制度，如实反映接待对象、公务活动、接待费、陪同和相关工作保障人员等情况。接待清单作为财务报销的凭证之一并接受审计。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第二十四条　外宾接待工作应当遵循服务外交、友好对等、务实节俭的原则。外宾邀请单位应当严格按照有关规定安排接待活动，严格执行接待规格和标准，从严从紧控制外宾团组接待费用。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第二十五条　地方因招商引资等工作需要接待的，应当参照国内公务接待标准要求，统一制度和标准，严格审批管理，强化审计监督，严禁超规格、超标准接待，严禁扩大接待范围、增加接待项目，严禁以招商引资等名义变相安排公务接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第二十六条　党政机关不得以任何名义新建、改建、扩建所属宾馆、招待所等具有接待功能的设施或者场所，不得以房屋维修等名义超出实际需要在接待场所超标准建设、豪华装修。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严格控制、严格审批新建扩建党性教育培训机构，不得以建设党性教育培训机构名义变相建设楼堂馆所、变相搞旅游开发。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建立接待资源共享机制，推进机关所属接待、培训场所的集中统一管理和利用。健全服务经营机制，推行机关所属接待、培训场所企业化管理，降低服务经营成本。</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积极推进国内公务接待服务社会化改革，有效利用社会资源为国内公务接待提供用车、住宿、用餐等服务。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br w:type="textWrapping"/>
      </w:r>
      <w:r>
        <w:rPr>
          <w:rStyle w:val="5"/>
          <w:rFonts w:hint="eastAsia" w:ascii="宋体" w:hAnsi="宋体" w:eastAsia="宋体" w:cs="宋体"/>
          <w:b/>
          <w:bCs/>
          <w:i w:val="0"/>
          <w:iCs w:val="0"/>
          <w:spacing w:val="7"/>
          <w:sz w:val="28"/>
          <w:szCs w:val="28"/>
        </w:rPr>
        <w:t>第五章　公务用车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第二十七条　坚持社会化、市场化方向，建立和实行符合国情的公务用车制度，合理有效配置公务用车资源，创新公务交通分类提供方式，保障公务出行，降低运行成本。</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普通公务出行由公务人员自主选择，实行社会化提供。按照有关规定发放公务交通补贴，不得以公务交通补贴的名义变相发放福利，不得既领取公务交通补贴又违规使用公务用车。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第二十八条　党政机关公务用车实行统一编制、统一标准、统一购置经费、统一采购配备管理。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从严配备执法执勤、机要通信、应急保障和特种专业技术用车以及其他用于定向化保障的用车，不得以特殊用途等理由变相超编制、超标准配备公务用车，不得以任何方式换用、借用、占用所属单位或者其他单位和个人的车辆，不得接受企事业单位和个人赠送的车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严格按照规定配备专车，不得擅自扩大专车配备范围或者变相配备专车。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执法执勤用车配备应当严格限制在一线执法执勤岗位，机关内部管理和后勤岗位以及机关所属事业单位一律不得配备。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规范和加强党政机关所属垂直管理机构、派出机构公务用车管理，严格控制公务用车编制，推动车辆盘活利用，避免闲置浪费。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第二十九条　公务用车实行政府集中采购，应当选用国产汽车，优先选用新能源汽车。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公务用车严格按照规定年限更新，达到更新年限仍能继续使用的应当继续使用，不得因领导干部职务晋升、调动等原因提前更新。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公务用车保险、维修、加油等实行政府集中采购，降低运行成本。</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第三十条　除涉及国家安全、侦查办案和其他有保密要求的特殊工作用车外，执法执勤等用车应当喷涂明显的统一标识。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第三十一条　根据公务活动需要，严格按照规定使用公务用车，严禁以任何理由挪用或者固定给个人使用执法执勤、机要通信等公务用车，领导干部亲属和身边工作人员不得因私使用配备给领导干部的公务用车。严禁公车私用、私车公养，严禁为公务用车增加高档配置或者豪华内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br w:type="textWrapping"/>
      </w:r>
      <w:r>
        <w:rPr>
          <w:rStyle w:val="5"/>
          <w:rFonts w:hint="eastAsia" w:ascii="宋体" w:hAnsi="宋体" w:eastAsia="宋体" w:cs="宋体"/>
          <w:b/>
          <w:bCs/>
          <w:i w:val="0"/>
          <w:iCs w:val="0"/>
          <w:spacing w:val="7"/>
          <w:sz w:val="28"/>
          <w:szCs w:val="28"/>
        </w:rPr>
        <w:t>第六章　会议活动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第三十二条　党政机关应当严格精简会议，召开会议严格实行计划管理，能不开的坚决不开，可合并的坚决合并。从严控制会议规模、会期，合理确定会议规格和参会人员范围、层级，不搞层层陪会。积极运用现代信息技术手段改进会议形式，提高会议效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第三十三条　会议召开场所实行政府采购定点管理。会议住宿用房以标准间为主，用餐安排自助餐或者工作餐，严禁提高会议用餐、住宿标准。会议活动现场布置应当简朴，工作会议一律不摆花草、不制作背景板。严禁违反规定到风景名胜区举办会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会议期间，不得安排宴请，不得组织旅游以及与会议无关的参观活动，不得以任何名义发放纪念品。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第三十四条　党政机关会议实行分类管理、分级审批。严格执行会议费开支范围、标准和报销制度，未经批准以及超范围、超标准开支的会议费，一律不予报销。严禁违规使用会议费购置办公设备，严禁列支公务接待费等与会议无关的任何费用，严禁套取会议资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财政部门应当会同机关事务管理等部门制定本级党政机关会议费管理办法。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第三十五条　健全培训审批制度，严格控制培训数量、时间、规模，严禁以培训名义召开会议。适合采取线上方式培训的应当通过线上方式开展。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严格执行分类培训经费开支标准，严格控制培训经费支出范围，严禁在培训经费中列支公务接待费、会议费等与培训无关的任何费用。严禁以培训名义进行公款宴请、公款旅游活动。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第三十六条　精简规范节庆展会论坛活动，实行清单管理，从严审批。严禁使用财政资金举办营业性文艺演出。从严控制举办大型综合性运动会和各类赛会。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经批准的节庆展会论坛、运动会、赛会等活动，应当严格控制规模和经费支出，不得互相攀比、大操大办、铺张浪费，不得违规摊派或者转嫁费用，不得借举办活动发放各类纪念品，不得违规使用财政资金邀请名人明星参与活动。举办活动应当充分使用现有资源，专门配备的设备在活动结束后应当及时收回，严禁购置奢华物资设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第三十七条　精简规范评比达标表彰和创建示范活动，实行清单管理，从严审批。评比达标表彰项目费用由举办单位承担，不得以任何方式向相关单位和个人收取费用。参与评比达标表彰和创建示范活动的单位应当节俭办事，杜绝浪费，不得举债搞创建。不得开展以乡镇（街道）、村（社区）、学校为对象的达标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br w:type="textWrapping"/>
      </w:r>
      <w:r>
        <w:rPr>
          <w:rStyle w:val="5"/>
          <w:rFonts w:hint="eastAsia" w:ascii="宋体" w:hAnsi="宋体" w:eastAsia="宋体" w:cs="宋体"/>
          <w:b/>
          <w:bCs/>
          <w:i w:val="0"/>
          <w:iCs w:val="0"/>
          <w:spacing w:val="7"/>
          <w:sz w:val="28"/>
          <w:szCs w:val="28"/>
        </w:rPr>
        <w:t>第七章　办公用房</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第三十八条　党政机关办公用房建设应当从严控制。凡是违反规定的拟建办公用房项目，必须坚决终止；凡是未按照规定程序履行审批手续、擅自开工建设的办公用房项目，必须停建并予以没收；凡是超规模、超标准、超投资概算建设的办公用房项目，应当根据具体情况限期腾退超标准面积或者全部没收、拍卖。</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党政机关办公用房应当严格管理，推进办公用房资源的公平配置和集约使用。凡是超过规定面积标准占有、使用办公用房以及未经批准租用、借用办公用房的，必须腾退；凡是未经批准改变办公用房使用功能的，原则上应当恢复原使用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第三十九条　党政机关新建、改建、扩建、购置、置换、维修改造、租用、借用办公用房，必须严格按照规定履行审批程序。采取置换方式配置办公用房的，应当执行新建办公用房各项标准，不得以未使用财政资金、资产整合等名义规避审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第四十条　党政机关办公用房建设项目应当按照朴素、实用、安全、节能原则，严格执行办公用房建设标准、单位综合造价标准和公共建筑节能设计标准，符合土地利用和城市规划要求，严禁超标准建设和豪华装修。党政机关办公楼不得追求成为城市地标建筑，严禁配套建设大型广场、公园等设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第四十一条　党政机关办公用房建设以及维修改造项目投资，统一列入预算安排，未经审批的项目不得安排预算。土地收益和资产转让收益应当按照非税收入有关规定管理，不得直接用于办公用房建设。不得违规利用保基本民生、保工资、保运转和专项债券等其他用途资金建设维修改造办公用房。</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第四十二条　党政机关办公用房建设应当严格执行工程招投标和政府采购有关规定，加强对工程项目的全过程监理和审计监督。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办公用房因使用时间较长、设施设备老化、功能不全、存在安全隐患等原因，不能满足办公需求的，可以进行维修改造。维修改造项目应当以消除安全隐患、恢复和完善使用功能、降低能源资源消耗为重点，严格履行审批程序，严格执行维修改造标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第四十三条　建立健全办公用房集中统一管理制度，对办公用房实行统一规划、统一权属、统一配置、统一处置。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党政机关应当严格按照有关标准和“三定”规定，从严核定、使用办公用房。超标部分应当腾退移交同级机关事务管理部门统一调剂使用。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新建、调整办公用房的单位，应当按照“建新交旧”、“调新交旧”的原则，在搬入新建或者新调整办公用房的同时，将原办公用房腾退移交机关事务管理部门统一调剂使用。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因机构增设、职能调整等原因确需增加办公用房的，应当在本单位现有办公用房中解决；本单位现有办公用房不能满足需要的，由机关事务管理部门整合办公用房资源调剂解决；无法调剂、确需租用解决的，应当严格履行报批手续，不得以变相补偿方式租用由企业等单位提供的办公用房。</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党政机关办公用房闲置的，可以按照规定采取调剂使用、转换用途、置换、出租等方式及时处置利用。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第四十四条　党政机关领导干部应当按照标准配置使用一处办公用房，确因工作需要另行配置办公用房的，应当严格履行审批程序。领导干部不得租用宾馆、酒店房间作为办公用房。配置使用的办公用房，在退休或者调离时应当及时腾退并由原单位收回。</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超标办公用房整改优先采取调换或者合用方式，采取工程改造方式整改的，工程改造方案应当简易、合理、厉行节约，多出的办公用房面积公用，不得直接隔断封死，防止造成新的浪费。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br w:type="textWrapping"/>
      </w:r>
      <w:r>
        <w:rPr>
          <w:rStyle w:val="5"/>
          <w:rFonts w:hint="eastAsia" w:ascii="宋体" w:hAnsi="宋体" w:eastAsia="宋体" w:cs="宋体"/>
          <w:b/>
          <w:bCs/>
          <w:i w:val="0"/>
          <w:iCs w:val="0"/>
          <w:spacing w:val="7"/>
          <w:sz w:val="28"/>
          <w:szCs w:val="28"/>
        </w:rPr>
        <w:t>第八章　资源节约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第四十五条　党政机关应当节约集约利用资源，加强全过程节约管理，提高能源、水、粮食、办公家具、办公设备、办公用品等的利用效率和效益，统筹利用土地，杜绝浪费行为。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第四十六条　对能源、水的使用实行分类定额和目标责任管理。推广应用节能技术产品，淘汰高耗能设施设备，重点推广应用新能源和可再生能源。积极使用节水型器具，建设节水型单位。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完善节能产品政府采购政策，严格执行节能产品政府强制采购和优先采购制度。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第四十七条　党政机关应当带头开展粮食节约行动，落实反食品浪费管理责任，加强机关食堂反食品浪费工作成效评估和通报，杜绝餐饮浪费。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第四十八条　优化办公家具、办公设备等资产的配置和使用，从严控制新增资产配置，优先通过调剂方式盘活存量资产，节约购置资金。达到更新年限仍能继续使用的应当继续使用，不得报废处置。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对产生的非涉密废纸、废弃电器电子产品等废旧物品进行集中回收处理，促进循环利用；涉及国家秘密的，按照有关保密规定进行销毁。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第四十九条　政务服务应当方便企业和群众办事，相关设施坚持实用原则，不得华而不实、铺张浪费，坚决防治和纠正政务服务中的“面子工程”。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第五十条　党政机关政务信息系统建设应当统筹规划，统一组织实施，防止分散重复建设和频繁升级。建立共享共用机制，加强资源整合，推动重要政务信息系统互联互通、信息共享和业务协同，降低软件开发、系统维护和升级等方面费用，防止资源浪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积极利用信息化手段，推行无纸化办公，减少一次性办公用品消耗。</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br w:type="textWrapping"/>
      </w:r>
      <w:r>
        <w:rPr>
          <w:rStyle w:val="5"/>
          <w:rFonts w:hint="eastAsia" w:ascii="宋体" w:hAnsi="宋体" w:eastAsia="宋体" w:cs="宋体"/>
          <w:b/>
          <w:bCs/>
          <w:i w:val="0"/>
          <w:iCs w:val="0"/>
          <w:spacing w:val="7"/>
          <w:sz w:val="28"/>
          <w:szCs w:val="28"/>
        </w:rPr>
        <w:t>第九章　宣传教育</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第五十一条　宣传部门应当把厉行节约反对浪费作为重要宣传内容，充分发挥各级各类媒体作用，注重用好互联网技术和新媒体手段，通过新闻报道、文化作品、公益广告等形式，广泛宣传中华民族勤俭节约的优秀品德，宣传阐释相关制度规定，宣传推广厉行节约的经验做法和先进典型，倡导绿色低碳消费理念和健康文明生活方式，在全社会营造浪费可耻、节约光荣的浓厚氛围。</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第五十二条　党政机关应当把加强厉行节约反对浪费教育作为作风建设的重要内容，融入干部队伍建设和机关日常管理之中，建立健全常态化工作机制。对各种铺张浪费现象和行为，应当严肃批评、督促改正。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纪检监察机关应当不定期曝光铺张浪费的典型案例，发挥警示教育作用。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组织人事部门和党校（行政学院）、干部学院应当把厉行节约反对浪费作为干部教育培训的重要内容，创新教育方法，切实增强教育培训的针对性和实效性。</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第五十三条　党政机关应当围绕建设节约型机关，组织开展形式多样、便于参与的活动，引导干部职工增强节约意识、珍惜物力财力，积极培育和形成崇尚节约、厉行节约、反对浪费的机关文化，为在全社会形成节俭之风发挥示范表率作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br w:type="textWrapping"/>
      </w:r>
      <w:r>
        <w:rPr>
          <w:rStyle w:val="5"/>
          <w:rFonts w:hint="eastAsia" w:ascii="宋体" w:hAnsi="宋体" w:eastAsia="宋体" w:cs="宋体"/>
          <w:b/>
          <w:bCs/>
          <w:i w:val="0"/>
          <w:iCs w:val="0"/>
          <w:spacing w:val="7"/>
          <w:sz w:val="28"/>
          <w:szCs w:val="28"/>
        </w:rPr>
        <w:t>第十章　监督追责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第五十四条　各级党委和政府应当建立健全厉行节约反对浪费监督检查机制，加大监督力度。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党委（党组）在巡视巡察工作中应当加强对厉行节约反对浪费落实情况的监督。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党委和政府办公厅（室）负责统筹协调有关部门开展对厉行节约反对浪费工作的督促检查，针对突出问题开展重点检查、暗访等专项活动，加大对典型问题的通报力度。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纪检监察机关应当加强对厉行节约反对浪费工作的监督，受理群众举报和有关部门移送的问题线索，及时查处违纪违法问题。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财政部门应当加强对党政机关预算管理有关工作以及财务、政府采购和会计等事项的财会监督，依法处理发现的违规问题，并及时向本级党委和政府汇报有关结果。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审计机关应当加强对党政机关预算执行、决算和其他财政收支情况，以及有关经济活动的审计监督，加大对党政机关公务支出和公款消费的审计力度，及时向本级党委和政府报告审计结果，依法处理、督促整改违规问题，并将涉嫌违纪违法问题移送有关部门查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支持人大、政协依法依章程加强对党政机关厉行节约反对浪费工作情况的监督。重视各级各类媒体在厉行节约反对浪费方面的舆论监督作用。发挥群众对党政机关及其工作人员铺张浪费行为的监督作用。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第五十五条　党委（党组）在每年度向上级党组织报送的落实全面从严治党主体责任情况报告中，应当报告本地区、本部门、本单位厉行节约反对浪费工作情况。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领导干部厉行节约反对浪费工作情况，应当列为领导班子民主生活会和领导干部述责述廉的重要内容并接受评议。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第五十六条　党政机关应当建立健全厉行节约反对浪费信息公开制度，按照及时、方便、多样的原则，依规依法将应当公开的有关情况以适当方式公开。</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第五十七条　有下列情形之一的，应当依规依纪依法追究负有领导责任的主要负责人或者有关领导干部的责任：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（一）政绩观错位，搞“形象工程”、“政绩工程”造成公共资金、资产和资源损失浪费；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（二）本地区、本部门、本单位铺张浪费、奢侈奢华问题严重，对发现的问题查处不力，干部群众反映强烈；</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（三）指使、纵容管辖单位或者人员违反本条例规定造成浪费；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（四）不履行或者不正确履行内部审批、管理、监督职责造成浪费；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（五）不按照规定及时公开本地区、本部门、本单位有关厉行节约反对浪费工作信息；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（六）其他对本地区、本部门、本单位铺张浪费问题负有领导责任的情形。</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第五十八条　有下列情形之一的，应当依规依纪依法追究有关人员的责任：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（一）未经审批列支财政性资金；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（二）采取弄虚作假等手段违规取得审批；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（三）违反审批要求擅自变通执行；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（四）违反管理规定超标准或者以虚假事项开支；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（五）利用职务便利假公济私；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（六）其他违反审批、管理、监督规定的情形。</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第五十九条　党政机关工作人员违反本条例规定造成浪费的，根据情节轻重，依规依纪依法给予批评教育、责令检查、诫勉、组织处理或者党纪政务处分。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第六十条　违反本条例规定获得的经济利益，应当依规依纪依法予以没收、追缴或者责令退赔。</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center"/>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br w:type="textWrapping"/>
      </w:r>
      <w:r>
        <w:rPr>
          <w:rStyle w:val="5"/>
          <w:rFonts w:hint="eastAsia" w:ascii="宋体" w:hAnsi="宋体" w:eastAsia="宋体" w:cs="宋体"/>
          <w:b/>
          <w:bCs/>
          <w:i w:val="0"/>
          <w:iCs w:val="0"/>
          <w:spacing w:val="7"/>
          <w:sz w:val="28"/>
          <w:szCs w:val="28"/>
        </w:rPr>
        <w:t>第十一章　附则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第六十一条　省、自治区、直辖市，中央和国家机关各部门，可以根据本条例，结合实际制定实施办法。有关职能部门应当根据各自职责，制定完善相关配套制度。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国有企业、国有金融企业、不参照公务员法管理的事业单位，参照本条例执行。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中国人民解放军和中国人民武装警察部队按照军队有关规定执行。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第六十二条　本条例由中央办公厅、国务院办公厅会同有关部门解释。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jc w:val="both"/>
        <w:textAlignment w:val="auto"/>
        <w:rPr>
          <w:rFonts w:hint="eastAsia" w:ascii="宋体" w:hAnsi="宋体" w:eastAsia="宋体" w:cs="宋体"/>
          <w:sz w:val="28"/>
          <w:szCs w:val="28"/>
        </w:rPr>
      </w:pPr>
      <w:r>
        <w:rPr>
          <w:rFonts w:hint="eastAsia" w:ascii="宋体" w:hAnsi="宋体" w:eastAsia="宋体" w:cs="宋体"/>
          <w:b w:val="0"/>
          <w:bCs w:val="0"/>
          <w:i w:val="0"/>
          <w:iCs w:val="0"/>
          <w:spacing w:val="7"/>
          <w:sz w:val="28"/>
          <w:szCs w:val="28"/>
        </w:rPr>
        <w:t>　　第六十三条　本条例自发布之日起施行。中央党内法规和法律另有规定的，从其规定。</w:t>
      </w:r>
    </w:p>
    <w:p>
      <w:pPr>
        <w:keepNext w:val="0"/>
        <w:keepLines w:val="0"/>
        <w:pageBreakBefore w:val="0"/>
        <w:kinsoku/>
        <w:wordWrap/>
        <w:overflowPunct/>
        <w:topLinePunct w:val="0"/>
        <w:autoSpaceDE/>
        <w:autoSpaceDN/>
        <w:bidi w:val="0"/>
        <w:adjustRightInd/>
        <w:snapToGrid/>
        <w:spacing w:beforeAutospacing="0" w:line="560" w:lineRule="exact"/>
        <w:textAlignment w:val="auto"/>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14FF3"/>
    <w:rsid w:val="25962D5A"/>
    <w:rsid w:val="2A014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2025-05-20T03:06:00Z</dcterms:created>
  <dc:creator>夏雪</dc:creator>
  <cp:lastModifiedBy>夏雪</cp:lastModifiedBy>
  <dcterms:modified xsi:type="dcterms:W3CDTF">2025-05-20T03:21:43Z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